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金平区民政局2025年随机抽查事项清单</w:t>
      </w:r>
    </w:p>
    <w:tbl>
      <w:tblPr>
        <w:tblStyle w:val="8"/>
        <w:tblW w:w="13505" w:type="dxa"/>
        <w:jc w:val="center"/>
        <w:tblInd w:w="0" w:type="dxa"/>
        <w:tblLayout w:type="fixed"/>
        <w:tblCellMar>
          <w:top w:w="0" w:type="dxa"/>
          <w:left w:w="108" w:type="dxa"/>
          <w:bottom w:w="0" w:type="dxa"/>
          <w:right w:w="108" w:type="dxa"/>
        </w:tblCellMar>
      </w:tblPr>
      <w:tblGrid>
        <w:gridCol w:w="555"/>
        <w:gridCol w:w="1017"/>
        <w:gridCol w:w="1110"/>
        <w:gridCol w:w="4536"/>
        <w:gridCol w:w="3120"/>
        <w:gridCol w:w="780"/>
        <w:gridCol w:w="780"/>
        <w:gridCol w:w="825"/>
        <w:gridCol w:w="782"/>
      </w:tblGrid>
      <w:tr>
        <w:tblPrEx>
          <w:tblLayout w:type="fixed"/>
          <w:tblCellMar>
            <w:top w:w="0" w:type="dxa"/>
            <w:left w:w="108" w:type="dxa"/>
            <w:bottom w:w="0" w:type="dxa"/>
            <w:right w:w="108"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黑体" w:hAnsi="黑体" w:eastAsia="黑体"/>
                <w:b/>
                <w:bCs/>
                <w:color w:val="000000"/>
                <w:sz w:val="24"/>
                <w:szCs w:val="24"/>
              </w:rPr>
            </w:pPr>
            <w:r>
              <w:rPr>
                <w:rFonts w:hint="eastAsia" w:ascii="黑体" w:hAnsi="黑体" w:eastAsia="黑体"/>
                <w:color w:val="000000"/>
                <w:sz w:val="24"/>
                <w:szCs w:val="24"/>
              </w:rPr>
              <w:t>序号</w:t>
            </w:r>
          </w:p>
        </w:tc>
        <w:tc>
          <w:tcPr>
            <w:tcW w:w="1017"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黑体" w:hAnsi="黑体" w:eastAsia="黑体"/>
                <w:color w:val="000000"/>
                <w:sz w:val="24"/>
                <w:szCs w:val="24"/>
              </w:rPr>
            </w:pPr>
            <w:r>
              <w:rPr>
                <w:rFonts w:hint="eastAsia" w:ascii="黑体" w:hAnsi="黑体" w:eastAsia="黑体"/>
                <w:color w:val="000000"/>
                <w:sz w:val="24"/>
                <w:szCs w:val="24"/>
              </w:rPr>
              <w:t>事项名称</w:t>
            </w:r>
          </w:p>
        </w:tc>
        <w:tc>
          <w:tcPr>
            <w:tcW w:w="11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黑体" w:hAnsi="黑体" w:eastAsia="黑体"/>
                <w:color w:val="000000"/>
                <w:sz w:val="24"/>
                <w:szCs w:val="24"/>
              </w:rPr>
            </w:pPr>
            <w:r>
              <w:rPr>
                <w:rFonts w:hint="eastAsia" w:ascii="黑体" w:hAnsi="黑体" w:eastAsia="黑体"/>
                <w:color w:val="000000"/>
                <w:sz w:val="24"/>
                <w:szCs w:val="24"/>
              </w:rPr>
              <w:t>抽查事项分类</w:t>
            </w:r>
          </w:p>
        </w:tc>
        <w:tc>
          <w:tcPr>
            <w:tcW w:w="453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黑体" w:hAnsi="黑体" w:eastAsia="黑体"/>
                <w:color w:val="000000"/>
                <w:sz w:val="24"/>
                <w:szCs w:val="24"/>
              </w:rPr>
            </w:pPr>
            <w:r>
              <w:rPr>
                <w:rFonts w:hint="eastAsia" w:ascii="黑体" w:hAnsi="黑体" w:eastAsia="黑体"/>
                <w:color w:val="000000"/>
                <w:sz w:val="24"/>
                <w:szCs w:val="24"/>
              </w:rPr>
              <w:t>抽查内容</w:t>
            </w:r>
          </w:p>
        </w:tc>
        <w:tc>
          <w:tcPr>
            <w:tcW w:w="312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黑体" w:hAnsi="黑体" w:eastAsia="黑体"/>
                <w:color w:val="000000"/>
                <w:sz w:val="24"/>
                <w:szCs w:val="24"/>
              </w:rPr>
            </w:pPr>
            <w:r>
              <w:rPr>
                <w:rFonts w:hint="eastAsia" w:ascii="黑体" w:hAnsi="黑体" w:eastAsia="黑体"/>
                <w:color w:val="000000"/>
                <w:sz w:val="24"/>
                <w:szCs w:val="24"/>
              </w:rPr>
              <w:t>抽查依据</w:t>
            </w:r>
          </w:p>
        </w:tc>
        <w:tc>
          <w:tcPr>
            <w:tcW w:w="78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黑体" w:hAnsi="黑体" w:eastAsia="黑体"/>
                <w:color w:val="000000"/>
                <w:sz w:val="24"/>
                <w:szCs w:val="24"/>
              </w:rPr>
            </w:pPr>
            <w:r>
              <w:rPr>
                <w:rFonts w:hint="eastAsia" w:ascii="黑体" w:hAnsi="黑体" w:eastAsia="黑体"/>
                <w:color w:val="000000"/>
                <w:sz w:val="24"/>
                <w:szCs w:val="24"/>
              </w:rPr>
              <w:t>抽查对象</w:t>
            </w:r>
          </w:p>
        </w:tc>
        <w:tc>
          <w:tcPr>
            <w:tcW w:w="78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黑体" w:hAnsi="黑体" w:eastAsia="黑体"/>
                <w:color w:val="000000"/>
                <w:sz w:val="24"/>
                <w:szCs w:val="24"/>
              </w:rPr>
            </w:pPr>
            <w:r>
              <w:rPr>
                <w:rFonts w:hint="eastAsia" w:ascii="黑体" w:hAnsi="黑体" w:eastAsia="黑体"/>
                <w:color w:val="000000"/>
                <w:sz w:val="24"/>
                <w:szCs w:val="24"/>
              </w:rPr>
              <w:t>抽查主体</w:t>
            </w:r>
          </w:p>
        </w:tc>
        <w:tc>
          <w:tcPr>
            <w:tcW w:w="825"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黑体" w:hAnsi="黑体" w:eastAsia="黑体"/>
                <w:color w:val="000000"/>
                <w:sz w:val="24"/>
                <w:szCs w:val="24"/>
              </w:rPr>
            </w:pPr>
            <w:r>
              <w:rPr>
                <w:rFonts w:hint="eastAsia" w:ascii="黑体" w:hAnsi="黑体" w:eastAsia="黑体"/>
                <w:color w:val="000000"/>
                <w:sz w:val="24"/>
                <w:szCs w:val="24"/>
              </w:rPr>
              <w:t>抽查方式</w:t>
            </w:r>
          </w:p>
        </w:tc>
        <w:tc>
          <w:tcPr>
            <w:tcW w:w="78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黑体" w:hAnsi="黑体" w:eastAsia="黑体"/>
                <w:color w:val="000000"/>
                <w:sz w:val="24"/>
                <w:szCs w:val="24"/>
              </w:rPr>
            </w:pPr>
            <w:r>
              <w:rPr>
                <w:rFonts w:hint="eastAsia" w:ascii="黑体" w:hAnsi="黑体" w:eastAsia="黑体"/>
                <w:color w:val="000000"/>
                <w:sz w:val="24"/>
                <w:szCs w:val="24"/>
              </w:rPr>
              <w:t>抽查频次</w:t>
            </w:r>
          </w:p>
        </w:tc>
      </w:tr>
      <w:tr>
        <w:tblPrEx>
          <w:tblLayout w:type="fixed"/>
          <w:tblCellMar>
            <w:top w:w="0" w:type="dxa"/>
            <w:left w:w="108" w:type="dxa"/>
            <w:bottom w:w="0" w:type="dxa"/>
            <w:right w:w="108" w:type="dxa"/>
          </w:tblCellMar>
        </w:tblPrEx>
        <w:trPr>
          <w:trHeight w:val="6570"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仿宋" w:hAnsi="仿宋" w:eastAsia="仿宋" w:cs="仿宋_GB2312"/>
                <w:b/>
                <w:bCs/>
                <w:color w:val="000000"/>
                <w:sz w:val="24"/>
                <w:szCs w:val="24"/>
              </w:rPr>
            </w:pPr>
            <w:r>
              <w:rPr>
                <w:rFonts w:hint="eastAsia" w:ascii="仿宋" w:hAnsi="仿宋" w:eastAsia="仿宋" w:cs="仿宋_GB2312"/>
                <w:b/>
                <w:bCs/>
                <w:color w:val="000000"/>
                <w:sz w:val="24"/>
                <w:szCs w:val="24"/>
              </w:rPr>
              <w:t>1</w:t>
            </w:r>
          </w:p>
        </w:tc>
        <w:tc>
          <w:tcPr>
            <w:tcW w:w="1017"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 w:hAnsi="仿宋" w:eastAsia="仿宋"/>
                <w:color w:val="000000"/>
                <w:sz w:val="24"/>
                <w:szCs w:val="24"/>
              </w:rPr>
            </w:pPr>
            <w:r>
              <w:rPr>
                <w:rFonts w:hint="eastAsia" w:ascii="仿宋" w:hAnsi="仿宋" w:eastAsia="仿宋"/>
                <w:color w:val="000000"/>
                <w:sz w:val="24"/>
                <w:szCs w:val="24"/>
              </w:rPr>
              <w:t>区级社会团体的监督检查</w:t>
            </w:r>
          </w:p>
        </w:tc>
        <w:tc>
          <w:tcPr>
            <w:tcW w:w="111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一般检查事项</w:t>
            </w:r>
          </w:p>
        </w:tc>
        <w:tc>
          <w:tcPr>
            <w:tcW w:w="4536" w:type="dxa"/>
            <w:tcBorders>
              <w:top w:val="single" w:color="000000" w:sz="4" w:space="0"/>
              <w:left w:val="nil"/>
              <w:bottom w:val="single" w:color="000000" w:sz="4" w:space="0"/>
              <w:right w:val="single" w:color="000000" w:sz="4" w:space="0"/>
            </w:tcBorders>
            <w:vAlign w:val="center"/>
          </w:tcPr>
          <w:p>
            <w:pPr>
              <w:autoSpaceDN w:val="0"/>
              <w:spacing w:line="280" w:lineRule="exact"/>
              <w:ind w:firstLine="210" w:firstLineChars="10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1.内部治理情况：内部法人治理结构，民主办会情况，重大事项及重大开支的决策情况，设立分支（代表）机构及其管理情况；</w:t>
            </w:r>
          </w:p>
          <w:p>
            <w:pPr>
              <w:autoSpaceDN w:val="0"/>
              <w:spacing w:line="280" w:lineRule="exact"/>
              <w:ind w:firstLine="210" w:firstLineChars="10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2.规章制度情况：有无建立健全以章程为核心的财务管理、印章、证书文件、信息披露、人事、诚信和自律建设等规章制度及规章制度的执行情况；</w:t>
            </w:r>
          </w:p>
          <w:p>
            <w:pPr>
              <w:autoSpaceDN w:val="0"/>
              <w:spacing w:line="280" w:lineRule="exact"/>
              <w:ind w:firstLine="210" w:firstLineChars="10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3.依章程开展活动情况：新成立的社会组织是否存在规定期限内开展活动，是否按章程规定的宗旨和业务范围开展活动，是否开展了营利性的经营活动，重大及涉外活动有无报批报备；</w:t>
            </w:r>
          </w:p>
          <w:p>
            <w:pPr>
              <w:autoSpaceDN w:val="0"/>
              <w:spacing w:line="280" w:lineRule="exact"/>
              <w:ind w:firstLine="210" w:firstLineChars="10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4.财务情况：财务管理情况，接受和使用捐赠及资助情况，各项收费及经费使用情况；</w:t>
            </w:r>
          </w:p>
          <w:p>
            <w:pPr>
              <w:autoSpaceDN w:val="0"/>
              <w:spacing w:line="280" w:lineRule="exact"/>
              <w:ind w:firstLine="210" w:firstLineChars="10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5.信息公开情况：是否按规定履行信息公开义务，信息公开事项是否完整，公开内容是否真实；</w:t>
            </w:r>
          </w:p>
          <w:p>
            <w:pPr>
              <w:autoSpaceDN w:val="0"/>
              <w:spacing w:line="280" w:lineRule="exact"/>
              <w:ind w:firstLine="210" w:firstLineChars="10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会员管理情况：是否存在强制入会或者在会员之间实施歧视性待遇，限制会员加入其他行业协会的情况，是否存在法律法规和章程规定，向会员收费或者摊派的情况，是否存在通过评比、表彰活动向会员收取费用或者变相收取费用的情况；</w:t>
            </w:r>
          </w:p>
          <w:p>
            <w:pPr>
              <w:autoSpaceDN w:val="0"/>
              <w:spacing w:line="280" w:lineRule="exact"/>
              <w:ind w:firstLine="21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7.违反法律法规的其他行为进行监督检查</w:t>
            </w:r>
            <w:bookmarkStart w:id="2" w:name="_GoBack"/>
            <w:bookmarkEnd w:id="2"/>
            <w:r>
              <w:rPr>
                <w:rFonts w:hint="eastAsia" w:ascii="仿宋_GB2312" w:hAnsi="仿宋_GB2312" w:eastAsia="仿宋_GB2312" w:cs="仿宋_GB2312"/>
                <w:color w:val="000000"/>
                <w:szCs w:val="21"/>
              </w:rPr>
              <w:t>。</w:t>
            </w:r>
          </w:p>
        </w:tc>
        <w:tc>
          <w:tcPr>
            <w:tcW w:w="3120" w:type="dxa"/>
            <w:tcBorders>
              <w:top w:val="single" w:color="000000" w:sz="4" w:space="0"/>
              <w:left w:val="nil"/>
              <w:bottom w:val="single" w:color="000000" w:sz="4" w:space="0"/>
              <w:right w:val="single" w:color="000000" w:sz="4" w:space="0"/>
            </w:tcBorders>
            <w:vAlign w:val="center"/>
          </w:tcPr>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1.《社会团体登记管理条例》（国务院令第250号，2016年修订）第六条第一款、第二十四条（一）、（三）项、第二十七条第二款；</w:t>
            </w:r>
          </w:p>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sz w:val="24"/>
                <w:szCs w:val="24"/>
              </w:rPr>
              <w:t>《社会组织名称管理办法》（民政部令69号）第三条、第五条。</w:t>
            </w:r>
          </w:p>
        </w:tc>
        <w:tc>
          <w:tcPr>
            <w:tcW w:w="78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区级社会团体</w:t>
            </w:r>
          </w:p>
        </w:tc>
        <w:tc>
          <w:tcPr>
            <w:tcW w:w="78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bookmarkStart w:id="0" w:name="OLE_LINK1"/>
            <w:r>
              <w:rPr>
                <w:rFonts w:hint="eastAsia" w:ascii="仿宋_GB2312" w:hAnsi="仿宋_GB2312" w:eastAsia="仿宋_GB2312" w:cs="仿宋_GB2312"/>
                <w:color w:val="000000"/>
                <w:sz w:val="24"/>
                <w:szCs w:val="24"/>
              </w:rPr>
              <w:t>行政审批服务股（社会组织管理股）</w:t>
            </w:r>
            <w:bookmarkEnd w:id="0"/>
          </w:p>
        </w:tc>
        <w:tc>
          <w:tcPr>
            <w:tcW w:w="825"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书面检查、现场检查</w:t>
            </w:r>
          </w:p>
        </w:tc>
        <w:tc>
          <w:tcPr>
            <w:tcW w:w="782"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按计划开展</w:t>
            </w:r>
          </w:p>
        </w:tc>
      </w:tr>
      <w:tr>
        <w:tblPrEx>
          <w:tblLayout w:type="fixed"/>
          <w:tblCellMar>
            <w:top w:w="0" w:type="dxa"/>
            <w:left w:w="108" w:type="dxa"/>
            <w:bottom w:w="0" w:type="dxa"/>
            <w:right w:w="108"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仿宋" w:hAnsi="仿宋" w:eastAsia="仿宋" w:cs="仿宋_GB2312"/>
                <w:b/>
                <w:bCs/>
                <w:color w:val="000000"/>
                <w:sz w:val="24"/>
                <w:szCs w:val="24"/>
              </w:rPr>
            </w:pPr>
            <w:r>
              <w:rPr>
                <w:rFonts w:hint="eastAsia" w:ascii="仿宋" w:hAnsi="仿宋" w:eastAsia="仿宋" w:cs="仿宋_GB2312"/>
                <w:b/>
                <w:bCs/>
                <w:color w:val="000000"/>
                <w:sz w:val="24"/>
                <w:szCs w:val="24"/>
              </w:rPr>
              <w:t>2</w:t>
            </w:r>
          </w:p>
        </w:tc>
        <w:tc>
          <w:tcPr>
            <w:tcW w:w="1017"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 w:hAnsi="仿宋" w:eastAsia="仿宋"/>
                <w:color w:val="000000"/>
                <w:sz w:val="24"/>
                <w:szCs w:val="24"/>
              </w:rPr>
            </w:pPr>
            <w:r>
              <w:rPr>
                <w:rFonts w:hint="eastAsia" w:ascii="仿宋" w:hAnsi="仿宋" w:eastAsia="仿宋"/>
                <w:color w:val="000000"/>
                <w:sz w:val="24"/>
                <w:szCs w:val="24"/>
              </w:rPr>
              <w:t>区级民办非企业单位的监督检查</w:t>
            </w:r>
          </w:p>
        </w:tc>
        <w:tc>
          <w:tcPr>
            <w:tcW w:w="111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一般检查事项</w:t>
            </w:r>
          </w:p>
        </w:tc>
        <w:tc>
          <w:tcPr>
            <w:tcW w:w="4536" w:type="dxa"/>
            <w:tcBorders>
              <w:top w:val="single" w:color="000000" w:sz="4" w:space="0"/>
              <w:left w:val="nil"/>
              <w:bottom w:val="single" w:color="000000" w:sz="4" w:space="0"/>
              <w:right w:val="single" w:color="000000" w:sz="4" w:space="0"/>
            </w:tcBorders>
            <w:vAlign w:val="center"/>
          </w:tcPr>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1.内部治理情况：内部法人治理结构，重大事项及重大开支的决策情况；</w:t>
            </w:r>
          </w:p>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2.规章制度情况：有无建立健全以章程为核心的财务管理、印章、证书文件、信息披露、人事、诚信和自律建设等规章制度及规章制度的执行情况；</w:t>
            </w:r>
          </w:p>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3.依章程开展活动情况：新成立的社会组织是否存在规定期限内开展活动，是否按章程规定的宗旨和业务范围开展活动，是否开展了营利性的经营活动，重大及涉外活动有无报批报备；</w:t>
            </w:r>
          </w:p>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4.财务情况：财务管理情况，接受和使用捐赠及资助情况，各项收费及经费使用情况；</w:t>
            </w:r>
          </w:p>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5.信息公开情况：是否按规定履行信息公开义务，信息公开事项是否完整，公开内容是否真实；</w:t>
            </w:r>
          </w:p>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6.违反法律法规的其他行为进行监督检查。</w:t>
            </w:r>
          </w:p>
        </w:tc>
        <w:tc>
          <w:tcPr>
            <w:tcW w:w="3120" w:type="dxa"/>
            <w:tcBorders>
              <w:top w:val="single" w:color="000000" w:sz="4" w:space="0"/>
              <w:left w:val="nil"/>
              <w:bottom w:val="single" w:color="000000" w:sz="4" w:space="0"/>
              <w:right w:val="single" w:color="000000" w:sz="4" w:space="0"/>
            </w:tcBorders>
            <w:vAlign w:val="center"/>
          </w:tcPr>
          <w:p>
            <w:pPr>
              <w:autoSpaceDN w:val="0"/>
              <w:spacing w:line="280" w:lineRule="exact"/>
              <w:ind w:firstLine="240" w:firstLineChars="100"/>
              <w:jc w:val="left"/>
              <w:textAlignment w:val="center"/>
              <w:rPr>
                <w:rFonts w:ascii="仿宋" w:hAnsi="仿宋" w:eastAsia="仿宋"/>
                <w:sz w:val="24"/>
                <w:szCs w:val="24"/>
              </w:rPr>
            </w:pPr>
            <w:r>
              <w:rPr>
                <w:rFonts w:hint="eastAsia" w:ascii="仿宋" w:hAnsi="仿宋" w:eastAsia="仿宋"/>
                <w:sz w:val="24"/>
                <w:szCs w:val="24"/>
              </w:rPr>
              <w:t>1.</w:t>
            </w:r>
            <w:r>
              <w:rPr>
                <w:rFonts w:hint="eastAsia"/>
              </w:rPr>
              <w:t xml:space="preserve"> </w:t>
            </w:r>
            <w:r>
              <w:rPr>
                <w:rFonts w:hint="eastAsia" w:ascii="仿宋" w:hAnsi="仿宋" w:eastAsia="仿宋"/>
                <w:sz w:val="24"/>
                <w:szCs w:val="24"/>
              </w:rPr>
              <w:t>《民办非企业单位登记管理暂行条例》（国务院令第251号）第五条第一款、第十九条第（一）、（三）项、第十三条、第二十二条第二款；</w:t>
            </w:r>
          </w:p>
          <w:p>
            <w:pPr>
              <w:autoSpaceDN w:val="0"/>
              <w:spacing w:line="280" w:lineRule="exact"/>
              <w:ind w:firstLine="240" w:firstLineChars="100"/>
              <w:jc w:val="left"/>
              <w:textAlignment w:val="center"/>
              <w:rPr>
                <w:rFonts w:ascii="仿宋_GB2312" w:hAnsi="仿宋_GB2312" w:eastAsia="仿宋_GB2312" w:cs="仿宋_GB2312"/>
                <w:sz w:val="24"/>
                <w:szCs w:val="24"/>
              </w:rPr>
            </w:pPr>
            <w:r>
              <w:rPr>
                <w:rFonts w:hint="eastAsia" w:ascii="仿宋" w:hAnsi="仿宋" w:eastAsia="仿宋"/>
                <w:sz w:val="24"/>
                <w:szCs w:val="24"/>
              </w:rPr>
              <w:t>2.</w:t>
            </w:r>
            <w:r>
              <w:rPr>
                <w:rFonts w:hint="eastAsia" w:ascii="仿宋_GB2312" w:hAnsi="仿宋_GB2312" w:eastAsia="仿宋_GB2312" w:cs="仿宋_GB2312"/>
                <w:sz w:val="24"/>
                <w:szCs w:val="24"/>
              </w:rPr>
              <w:t>《社会组织名称管理办法》（民政部令69号）第三条、第五条。</w:t>
            </w:r>
          </w:p>
          <w:p>
            <w:pPr>
              <w:autoSpaceDN w:val="0"/>
              <w:spacing w:line="280" w:lineRule="exact"/>
              <w:ind w:firstLine="240" w:firstLineChars="100"/>
              <w:jc w:val="left"/>
              <w:textAlignment w:val="center"/>
              <w:rPr>
                <w:rFonts w:ascii="仿宋" w:hAnsi="仿宋" w:eastAsia="仿宋"/>
                <w:sz w:val="24"/>
                <w:szCs w:val="24"/>
              </w:rPr>
            </w:pPr>
            <w:r>
              <w:rPr>
                <w:rFonts w:hint="eastAsia" w:ascii="仿宋" w:hAnsi="仿宋" w:eastAsia="仿宋"/>
                <w:sz w:val="24"/>
                <w:szCs w:val="24"/>
              </w:rPr>
              <w:t>3.《国务院办公厅关于政府向社会力量购买服务的指导意见》（国办发〔2013〕96号）第四点“扎实推进政府向社会力量购买服务工作”第三项 “严格监督管理”</w:t>
            </w:r>
          </w:p>
          <w:p>
            <w:pPr>
              <w:autoSpaceDN w:val="0"/>
              <w:spacing w:line="280" w:lineRule="exact"/>
              <w:ind w:firstLine="240" w:firstLineChars="100"/>
              <w:jc w:val="left"/>
              <w:textAlignment w:val="center"/>
              <w:rPr>
                <w:rFonts w:ascii="仿宋" w:hAnsi="仿宋" w:eastAsia="仿宋"/>
                <w:sz w:val="24"/>
                <w:szCs w:val="24"/>
              </w:rPr>
            </w:pPr>
            <w:r>
              <w:rPr>
                <w:rFonts w:hint="eastAsia" w:ascii="仿宋" w:hAnsi="仿宋" w:eastAsia="仿宋"/>
                <w:sz w:val="24"/>
                <w:szCs w:val="24"/>
              </w:rPr>
              <w:t>4.《民政部、中国人民银行关于民办非企业单位开立银行账户有关问题的通知》（民发〔1999〕65号 1999年10月9日）第六条</w:t>
            </w:r>
          </w:p>
          <w:p>
            <w:pPr>
              <w:autoSpaceDN w:val="0"/>
              <w:spacing w:line="280" w:lineRule="exact"/>
              <w:ind w:firstLine="240" w:firstLineChars="100"/>
              <w:jc w:val="left"/>
              <w:textAlignment w:val="center"/>
              <w:rPr>
                <w:rFonts w:ascii="仿宋" w:hAnsi="仿宋" w:eastAsia="仿宋"/>
                <w:sz w:val="24"/>
                <w:szCs w:val="24"/>
              </w:rPr>
            </w:pPr>
            <w:r>
              <w:rPr>
                <w:rFonts w:hint="eastAsia" w:ascii="仿宋" w:hAnsi="仿宋" w:eastAsia="仿宋"/>
                <w:sz w:val="24"/>
                <w:szCs w:val="24"/>
              </w:rPr>
              <w:t>5.《社会组织评比达标表彰活动管理办法》（国评组发〔2022〕3号）第十六条</w:t>
            </w:r>
          </w:p>
          <w:p>
            <w:pPr>
              <w:autoSpaceDN w:val="0"/>
              <w:spacing w:line="280" w:lineRule="exact"/>
              <w:ind w:firstLine="240" w:firstLineChars="100"/>
              <w:jc w:val="left"/>
              <w:textAlignment w:val="center"/>
              <w:rPr>
                <w:rFonts w:ascii="仿宋" w:hAnsi="仿宋" w:eastAsia="仿宋"/>
                <w:sz w:val="24"/>
                <w:szCs w:val="24"/>
              </w:rPr>
            </w:pPr>
            <w:r>
              <w:rPr>
                <w:rFonts w:hint="eastAsia" w:ascii="仿宋" w:hAnsi="仿宋" w:eastAsia="仿宋"/>
                <w:sz w:val="24"/>
                <w:szCs w:val="24"/>
              </w:rPr>
              <w:t>6.《社会组织举办研讨会论坛活动管理办法》（民发〔2012</w:t>
            </w:r>
            <w:r>
              <w:rPr>
                <w:rFonts w:hint="eastAsia" w:ascii="仿宋" w:hAnsi="仿宋" w:eastAsia="仿宋"/>
                <w:color w:val="C00000"/>
                <w:sz w:val="24"/>
                <w:szCs w:val="24"/>
              </w:rPr>
              <w:t>〕</w:t>
            </w:r>
            <w:r>
              <w:rPr>
                <w:rFonts w:hint="eastAsia" w:ascii="仿宋" w:hAnsi="仿宋" w:eastAsia="仿宋"/>
                <w:sz w:val="24"/>
                <w:szCs w:val="24"/>
              </w:rPr>
              <w:t>57号）第十二条。</w:t>
            </w:r>
          </w:p>
          <w:p>
            <w:pPr>
              <w:pStyle w:val="2"/>
              <w:ind w:firstLine="600"/>
            </w:pPr>
          </w:p>
        </w:tc>
        <w:tc>
          <w:tcPr>
            <w:tcW w:w="78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区级民办非企业单位</w:t>
            </w:r>
          </w:p>
        </w:tc>
        <w:tc>
          <w:tcPr>
            <w:tcW w:w="78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bookmarkStart w:id="1" w:name="OLE_LINK2"/>
            <w:r>
              <w:rPr>
                <w:rFonts w:hint="eastAsia" w:ascii="仿宋_GB2312" w:hAnsi="仿宋_GB2312" w:eastAsia="仿宋_GB2312" w:cs="仿宋_GB2312"/>
                <w:color w:val="000000"/>
                <w:sz w:val="24"/>
                <w:szCs w:val="24"/>
              </w:rPr>
              <w:t>行政审批服务股（社会组织管理股）</w:t>
            </w:r>
            <w:bookmarkEnd w:id="1"/>
          </w:p>
        </w:tc>
        <w:tc>
          <w:tcPr>
            <w:tcW w:w="825"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书面检查、现场检查</w:t>
            </w:r>
          </w:p>
        </w:tc>
        <w:tc>
          <w:tcPr>
            <w:tcW w:w="782"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每年1次</w:t>
            </w:r>
          </w:p>
        </w:tc>
      </w:tr>
      <w:tr>
        <w:tblPrEx>
          <w:tblLayout w:type="fixed"/>
          <w:tblCellMar>
            <w:top w:w="0" w:type="dxa"/>
            <w:left w:w="108" w:type="dxa"/>
            <w:bottom w:w="0" w:type="dxa"/>
            <w:right w:w="108" w:type="dxa"/>
          </w:tblCellMar>
        </w:tblPrEx>
        <w:trPr>
          <w:trHeight w:val="4388"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仿宋" w:hAnsi="仿宋" w:eastAsia="仿宋" w:cs="仿宋_GB2312"/>
                <w:b/>
                <w:bCs/>
                <w:color w:val="000000"/>
                <w:sz w:val="24"/>
                <w:szCs w:val="24"/>
              </w:rPr>
            </w:pPr>
            <w:r>
              <w:rPr>
                <w:rFonts w:hint="eastAsia" w:ascii="仿宋" w:hAnsi="仿宋" w:eastAsia="仿宋" w:cs="仿宋_GB2312"/>
                <w:b/>
                <w:bCs/>
                <w:color w:val="000000"/>
                <w:sz w:val="24"/>
                <w:szCs w:val="24"/>
              </w:rPr>
              <w:t>3</w:t>
            </w:r>
          </w:p>
        </w:tc>
        <w:tc>
          <w:tcPr>
            <w:tcW w:w="1017"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 w:hAnsi="仿宋" w:eastAsia="仿宋"/>
                <w:color w:val="000000"/>
                <w:sz w:val="24"/>
                <w:szCs w:val="24"/>
              </w:rPr>
            </w:pPr>
            <w:r>
              <w:rPr>
                <w:rFonts w:hint="eastAsia" w:ascii="仿宋" w:hAnsi="仿宋" w:eastAsia="仿宋"/>
                <w:color w:val="000000"/>
                <w:sz w:val="24"/>
                <w:szCs w:val="24"/>
              </w:rPr>
              <w:t>区级慈善组织开展慈善活动的监督检查</w:t>
            </w:r>
          </w:p>
        </w:tc>
        <w:tc>
          <w:tcPr>
            <w:tcW w:w="111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一般检查事项</w:t>
            </w:r>
          </w:p>
        </w:tc>
        <w:tc>
          <w:tcPr>
            <w:tcW w:w="4536" w:type="dxa"/>
            <w:tcBorders>
              <w:top w:val="single" w:color="000000" w:sz="4" w:space="0"/>
              <w:left w:val="nil"/>
              <w:bottom w:val="single" w:color="000000" w:sz="4" w:space="0"/>
              <w:right w:val="single" w:color="000000" w:sz="4" w:space="0"/>
            </w:tcBorders>
            <w:vAlign w:val="center"/>
          </w:tcPr>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对区级慈善组织的管理、慈善财产、信息公开、慈善募捐、慈善捐赠、慈善信托、慈善服务等情况进行监督检查。</w:t>
            </w:r>
          </w:p>
        </w:tc>
        <w:tc>
          <w:tcPr>
            <w:tcW w:w="3120" w:type="dxa"/>
            <w:tcBorders>
              <w:top w:val="single" w:color="000000" w:sz="4" w:space="0"/>
              <w:left w:val="nil"/>
              <w:bottom w:val="single" w:color="000000" w:sz="4" w:space="0"/>
              <w:right w:val="single" w:color="000000" w:sz="4" w:space="0"/>
            </w:tcBorders>
            <w:vAlign w:val="center"/>
          </w:tcPr>
          <w:p>
            <w:pPr>
              <w:autoSpaceDN w:val="0"/>
              <w:spacing w:line="280" w:lineRule="exact"/>
              <w:ind w:firstLine="210" w:firstLineChars="10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1.《中华人民共和国慈善法》（主席令第43号）第九十二条、第九十三条</w:t>
            </w:r>
          </w:p>
          <w:p>
            <w:pPr>
              <w:autoSpaceDN w:val="0"/>
              <w:spacing w:line="280" w:lineRule="exact"/>
              <w:ind w:firstLine="210" w:firstLineChars="10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2.《慈善组织公开募捐管理办法》（民政部令第74号）第四条</w:t>
            </w:r>
          </w:p>
          <w:p>
            <w:pPr>
              <w:autoSpaceDN w:val="0"/>
              <w:spacing w:line="280" w:lineRule="exact"/>
              <w:ind w:firstLine="210" w:firstLineChars="100"/>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3.《民政部 中国银行业监督管理委员会关于做好慈善信托备案有关工作的通知》第三款</w:t>
            </w:r>
          </w:p>
          <w:p>
            <w:pPr>
              <w:autoSpaceDN w:val="0"/>
              <w:spacing w:line="280" w:lineRule="exact"/>
              <w:ind w:firstLine="21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4.《广东省民政厅中国银行保险监督管理委员会广东监管局关于慈善信托管理工作的实施细则》第六条</w:t>
            </w:r>
          </w:p>
        </w:tc>
        <w:tc>
          <w:tcPr>
            <w:tcW w:w="78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区级慈善组织</w:t>
            </w:r>
          </w:p>
        </w:tc>
        <w:tc>
          <w:tcPr>
            <w:tcW w:w="780" w:type="dxa"/>
            <w:tcBorders>
              <w:top w:val="single" w:color="000000" w:sz="4" w:space="0"/>
              <w:left w:val="nil"/>
              <w:bottom w:val="single" w:color="000000" w:sz="4" w:space="0"/>
              <w:right w:val="single" w:color="000000" w:sz="4" w:space="0"/>
            </w:tcBorders>
            <w:vAlign w:val="center"/>
          </w:tcPr>
          <w:p>
            <w:pPr>
              <w:autoSpaceDN w:val="0"/>
              <w:spacing w:line="28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社会救助股</w:t>
            </w:r>
            <w:r>
              <w:rPr>
                <w:rFonts w:hint="eastAsia" w:ascii="仿宋_GB2312" w:hAnsi="仿宋_GB2312" w:eastAsia="仿宋_GB2312" w:cs="仿宋_GB2312"/>
                <w:sz w:val="24"/>
                <w:szCs w:val="24"/>
              </w:rPr>
              <w:t>会同行政审批服务股（社会组织管理股）</w:t>
            </w:r>
          </w:p>
        </w:tc>
        <w:tc>
          <w:tcPr>
            <w:tcW w:w="825"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书面检查、现场检查</w:t>
            </w:r>
          </w:p>
        </w:tc>
        <w:tc>
          <w:tcPr>
            <w:tcW w:w="782"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每年1次</w:t>
            </w:r>
          </w:p>
        </w:tc>
      </w:tr>
      <w:tr>
        <w:tblPrEx>
          <w:tblLayout w:type="fixed"/>
          <w:tblCellMar>
            <w:top w:w="0" w:type="dxa"/>
            <w:left w:w="108" w:type="dxa"/>
            <w:bottom w:w="0" w:type="dxa"/>
            <w:right w:w="108" w:type="dxa"/>
          </w:tblCellMar>
        </w:tblPrEx>
        <w:trPr>
          <w:trHeight w:val="3746"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仿宋" w:hAnsi="仿宋" w:eastAsia="仿宋" w:cs="仿宋_GB2312"/>
                <w:b/>
                <w:bCs/>
                <w:color w:val="000000"/>
                <w:sz w:val="24"/>
                <w:szCs w:val="24"/>
              </w:rPr>
            </w:pPr>
            <w:r>
              <w:rPr>
                <w:rFonts w:hint="eastAsia" w:ascii="仿宋" w:hAnsi="仿宋" w:eastAsia="仿宋" w:cs="仿宋_GB2312"/>
                <w:b/>
                <w:bCs/>
                <w:color w:val="000000"/>
                <w:sz w:val="24"/>
                <w:szCs w:val="24"/>
              </w:rPr>
              <w:t>4</w:t>
            </w:r>
          </w:p>
        </w:tc>
        <w:tc>
          <w:tcPr>
            <w:tcW w:w="1017"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 w:hAnsi="仿宋" w:eastAsia="仿宋"/>
                <w:color w:val="000000"/>
                <w:sz w:val="24"/>
                <w:szCs w:val="24"/>
              </w:rPr>
            </w:pPr>
            <w:r>
              <w:rPr>
                <w:rFonts w:hint="eastAsia" w:ascii="仿宋" w:hAnsi="仿宋" w:eastAsia="仿宋"/>
                <w:color w:val="000000"/>
                <w:sz w:val="24"/>
                <w:szCs w:val="24"/>
              </w:rPr>
              <w:t>区级殡葬服务场所监督检查</w:t>
            </w:r>
          </w:p>
        </w:tc>
        <w:tc>
          <w:tcPr>
            <w:tcW w:w="111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一般检查事项</w:t>
            </w:r>
          </w:p>
        </w:tc>
        <w:tc>
          <w:tcPr>
            <w:tcW w:w="4536" w:type="dxa"/>
            <w:tcBorders>
              <w:top w:val="single" w:color="000000" w:sz="4" w:space="0"/>
              <w:left w:val="nil"/>
              <w:bottom w:val="single" w:color="000000" w:sz="4" w:space="0"/>
              <w:right w:val="single" w:color="000000" w:sz="4" w:space="0"/>
            </w:tcBorders>
            <w:vAlign w:val="center"/>
          </w:tcPr>
          <w:p>
            <w:pPr>
              <w:autoSpaceDN w:val="0"/>
              <w:spacing w:line="280" w:lineRule="exact"/>
              <w:ind w:firstLine="240" w:firstLineChars="100"/>
              <w:jc w:val="left"/>
              <w:textAlignment w:val="center"/>
              <w:rPr>
                <w:rFonts w:ascii="仿宋" w:hAnsi="仿宋" w:eastAsia="仿宋" w:cs="仿宋"/>
                <w:sz w:val="24"/>
                <w:szCs w:val="24"/>
              </w:rPr>
            </w:pPr>
          </w:p>
          <w:p>
            <w:pPr>
              <w:pStyle w:val="2"/>
              <w:ind w:left="210" w:leftChars="100" w:firstLine="0" w:firstLineChars="0"/>
              <w:rPr>
                <w:rFonts w:eastAsia="仿宋"/>
              </w:rPr>
            </w:pPr>
            <w:r>
              <w:rPr>
                <w:rFonts w:hint="eastAsia" w:ascii="仿宋" w:hAnsi="仿宋" w:eastAsia="仿宋" w:cs="仿宋"/>
                <w:sz w:val="24"/>
                <w:szCs w:val="24"/>
              </w:rPr>
              <w:t>1.内部管理与队伍建设；2.服务范围与服务价格以及收费公示和明码标价执行情况；3.落实行政机关有关殡葬管理的情况；4.监控系统与消防设施等安全管理和生产情况；5.移风易俗等方面。</w:t>
            </w:r>
          </w:p>
        </w:tc>
        <w:tc>
          <w:tcPr>
            <w:tcW w:w="3120" w:type="dxa"/>
            <w:tcBorders>
              <w:top w:val="single" w:color="000000" w:sz="4" w:space="0"/>
              <w:left w:val="nil"/>
              <w:bottom w:val="single" w:color="000000" w:sz="4" w:space="0"/>
              <w:right w:val="single" w:color="000000" w:sz="4" w:space="0"/>
            </w:tcBorders>
            <w:vAlign w:val="center"/>
          </w:tcPr>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《关于进一步加强和规范公益性骨灰存放设施建设管理的意见》（粤民规字〔2020〕2号）</w:t>
            </w:r>
          </w:p>
        </w:tc>
        <w:tc>
          <w:tcPr>
            <w:tcW w:w="78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ascii="仿宋" w:hAnsi="仿宋" w:eastAsia="仿宋" w:cs="Times New Roman"/>
                <w:color w:val="000000"/>
                <w:szCs w:val="21"/>
              </w:rPr>
              <w:t>全</w:t>
            </w:r>
            <w:r>
              <w:rPr>
                <w:rFonts w:hint="eastAsia" w:ascii="仿宋" w:hAnsi="仿宋" w:eastAsia="仿宋" w:cs="Times New Roman"/>
                <w:color w:val="000000"/>
                <w:szCs w:val="21"/>
              </w:rPr>
              <w:t>区各骨灰楼堂（陵园</w:t>
            </w:r>
            <w:r>
              <w:rPr>
                <w:rFonts w:hint="eastAsia" w:cs="Times New Roman"/>
                <w:color w:val="000000"/>
                <w:szCs w:val="21"/>
              </w:rPr>
              <w:t>）</w:t>
            </w:r>
            <w:r>
              <w:rPr>
                <w:rFonts w:hint="eastAsia" w:ascii="Times New Roman" w:hAnsi="Times New Roman" w:eastAsia="仿宋_GB2312" w:cs="Times New Roman"/>
                <w:color w:val="000000"/>
                <w:szCs w:val="21"/>
              </w:rPr>
              <w:t xml:space="preserve"> </w:t>
            </w:r>
          </w:p>
        </w:tc>
        <w:tc>
          <w:tcPr>
            <w:tcW w:w="78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社会福利和社会事务股</w:t>
            </w:r>
          </w:p>
        </w:tc>
        <w:tc>
          <w:tcPr>
            <w:tcW w:w="825"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书面检查、现场检查</w:t>
            </w:r>
          </w:p>
        </w:tc>
        <w:tc>
          <w:tcPr>
            <w:tcW w:w="782"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每年1次</w:t>
            </w:r>
          </w:p>
        </w:tc>
      </w:tr>
      <w:tr>
        <w:tblPrEx>
          <w:tblLayout w:type="fixed"/>
          <w:tblCellMar>
            <w:top w:w="0" w:type="dxa"/>
            <w:left w:w="108" w:type="dxa"/>
            <w:bottom w:w="0" w:type="dxa"/>
            <w:right w:w="108" w:type="dxa"/>
          </w:tblCellMar>
        </w:tblPrEx>
        <w:trPr>
          <w:trHeight w:val="4007"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仿宋" w:hAnsi="仿宋" w:eastAsia="仿宋" w:cs="仿宋_GB2312"/>
                <w:b/>
                <w:bCs/>
                <w:color w:val="000000"/>
                <w:sz w:val="24"/>
                <w:szCs w:val="24"/>
              </w:rPr>
            </w:pPr>
            <w:r>
              <w:rPr>
                <w:rFonts w:hint="eastAsia" w:ascii="仿宋" w:hAnsi="仿宋" w:eastAsia="仿宋" w:cs="仿宋_GB2312"/>
                <w:b/>
                <w:bCs/>
                <w:color w:val="000000"/>
                <w:sz w:val="24"/>
                <w:szCs w:val="24"/>
              </w:rPr>
              <w:t>5</w:t>
            </w:r>
          </w:p>
        </w:tc>
        <w:tc>
          <w:tcPr>
            <w:tcW w:w="1017"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 w:hAnsi="仿宋" w:eastAsia="仿宋"/>
                <w:color w:val="000000"/>
                <w:sz w:val="24"/>
                <w:szCs w:val="24"/>
              </w:rPr>
            </w:pPr>
            <w:r>
              <w:rPr>
                <w:rFonts w:hint="eastAsia" w:ascii="仿宋" w:hAnsi="仿宋" w:eastAsia="仿宋"/>
                <w:color w:val="000000"/>
                <w:sz w:val="24"/>
                <w:szCs w:val="24"/>
              </w:rPr>
              <w:t>区级养老机构监督检查</w:t>
            </w:r>
          </w:p>
        </w:tc>
        <w:tc>
          <w:tcPr>
            <w:tcW w:w="111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重点检查事项</w:t>
            </w:r>
          </w:p>
        </w:tc>
        <w:tc>
          <w:tcPr>
            <w:tcW w:w="4536" w:type="dxa"/>
            <w:tcBorders>
              <w:top w:val="single" w:color="000000" w:sz="4" w:space="0"/>
              <w:left w:val="nil"/>
              <w:bottom w:val="single" w:color="000000" w:sz="4" w:space="0"/>
              <w:right w:val="single" w:color="000000" w:sz="4" w:space="0"/>
            </w:tcBorders>
            <w:vAlign w:val="center"/>
          </w:tcPr>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1.养老机构名称、住所、法定代表人或者主要负责人、服务范围等事项变化情况； </w:t>
            </w:r>
          </w:p>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2.为收住老年人提供相关服务情况及住房、设施设备等配备情况； </w:t>
            </w:r>
          </w:p>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3.安全、消防、卫生、财务、档案等有关规章制度建立和落实情况； </w:t>
            </w:r>
          </w:p>
          <w:p>
            <w:pPr>
              <w:autoSpaceDN w:val="0"/>
              <w:spacing w:line="280" w:lineRule="exact"/>
              <w:ind w:firstLine="240" w:firstLineChars="1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4.管理人员、专业技术人员和服务人员配备情况。</w:t>
            </w:r>
          </w:p>
        </w:tc>
        <w:tc>
          <w:tcPr>
            <w:tcW w:w="3120" w:type="dxa"/>
            <w:tcBorders>
              <w:top w:val="single" w:color="000000" w:sz="4" w:space="0"/>
              <w:left w:val="nil"/>
              <w:bottom w:val="single" w:color="000000" w:sz="4" w:space="0"/>
              <w:right w:val="single" w:color="000000" w:sz="4" w:space="0"/>
            </w:tcBorders>
            <w:vAlign w:val="center"/>
          </w:tcPr>
          <w:p>
            <w:pPr>
              <w:autoSpaceDN w:val="0"/>
              <w:spacing w:line="28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1.《养老机构管理办法》（民政部令第66号）；</w:t>
            </w:r>
          </w:p>
          <w:p>
            <w:pPr>
              <w:autoSpaceDN w:val="0"/>
              <w:spacing w:line="28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2.《养老机构行政检查办法》（民发〔2022〕86号）；</w:t>
            </w:r>
          </w:p>
          <w:p>
            <w:pPr>
              <w:autoSpaceDN w:val="0"/>
              <w:spacing w:line="28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3.《广东省养老服务条例》</w:t>
            </w:r>
          </w:p>
          <w:p>
            <w:pPr>
              <w:autoSpaceDN w:val="0"/>
              <w:spacing w:line="280" w:lineRule="exact"/>
              <w:jc w:val="left"/>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w:t>
            </w:r>
          </w:p>
        </w:tc>
        <w:tc>
          <w:tcPr>
            <w:tcW w:w="78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区属管理养老机构</w:t>
            </w:r>
          </w:p>
        </w:tc>
        <w:tc>
          <w:tcPr>
            <w:tcW w:w="780"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社会福利和社会事务股</w:t>
            </w:r>
          </w:p>
        </w:tc>
        <w:tc>
          <w:tcPr>
            <w:tcW w:w="825"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书面检查、现场检查</w:t>
            </w:r>
          </w:p>
        </w:tc>
        <w:tc>
          <w:tcPr>
            <w:tcW w:w="782" w:type="dxa"/>
            <w:tcBorders>
              <w:top w:val="single" w:color="000000" w:sz="4" w:space="0"/>
              <w:left w:val="nil"/>
              <w:bottom w:val="single" w:color="000000" w:sz="4" w:space="0"/>
              <w:right w:val="single" w:color="000000" w:sz="4" w:space="0"/>
            </w:tcBorders>
            <w:vAlign w:val="center"/>
          </w:tcPr>
          <w:p>
            <w:pPr>
              <w:autoSpaceDN w:val="0"/>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每年1次</w:t>
            </w:r>
          </w:p>
        </w:tc>
      </w:tr>
    </w:tbl>
    <w:p>
      <w:r>
        <w:rPr>
          <w:rFonts w:hint="eastAsia"/>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YTBiOGQwYzIwYjM4MWZkOWZiYzNhYjhlODlhZDEifQ=="/>
  </w:docVars>
  <w:rsids>
    <w:rsidRoot w:val="00B12144"/>
    <w:rsid w:val="000631B6"/>
    <w:rsid w:val="001274CC"/>
    <w:rsid w:val="001B245A"/>
    <w:rsid w:val="001E4E58"/>
    <w:rsid w:val="00276334"/>
    <w:rsid w:val="002E3330"/>
    <w:rsid w:val="00392916"/>
    <w:rsid w:val="00401B62"/>
    <w:rsid w:val="0043678B"/>
    <w:rsid w:val="004B1309"/>
    <w:rsid w:val="004D5297"/>
    <w:rsid w:val="0050171C"/>
    <w:rsid w:val="00504BCB"/>
    <w:rsid w:val="00511061"/>
    <w:rsid w:val="006112DF"/>
    <w:rsid w:val="00684EF2"/>
    <w:rsid w:val="006A4F6C"/>
    <w:rsid w:val="007D0258"/>
    <w:rsid w:val="009A7C11"/>
    <w:rsid w:val="00A95C8B"/>
    <w:rsid w:val="00AD1D3D"/>
    <w:rsid w:val="00AD6E38"/>
    <w:rsid w:val="00B12144"/>
    <w:rsid w:val="00BB558D"/>
    <w:rsid w:val="00C07B12"/>
    <w:rsid w:val="00D157BC"/>
    <w:rsid w:val="00D43E92"/>
    <w:rsid w:val="00F04871"/>
    <w:rsid w:val="00F92DBF"/>
    <w:rsid w:val="04B0591C"/>
    <w:rsid w:val="065946FE"/>
    <w:rsid w:val="07F1392B"/>
    <w:rsid w:val="0B5B755C"/>
    <w:rsid w:val="0BE60416"/>
    <w:rsid w:val="1078290C"/>
    <w:rsid w:val="12F60C4F"/>
    <w:rsid w:val="1302401C"/>
    <w:rsid w:val="17112CCF"/>
    <w:rsid w:val="17AC050B"/>
    <w:rsid w:val="19A26F36"/>
    <w:rsid w:val="1AB06317"/>
    <w:rsid w:val="1DC46046"/>
    <w:rsid w:val="1E1F2FF7"/>
    <w:rsid w:val="1F736F7A"/>
    <w:rsid w:val="21037BE7"/>
    <w:rsid w:val="23DF1621"/>
    <w:rsid w:val="241E3D1F"/>
    <w:rsid w:val="267A1A3A"/>
    <w:rsid w:val="2CBA2D27"/>
    <w:rsid w:val="2E494294"/>
    <w:rsid w:val="2F5F4142"/>
    <w:rsid w:val="3702391C"/>
    <w:rsid w:val="398A5AD2"/>
    <w:rsid w:val="39C35E6F"/>
    <w:rsid w:val="3BE73318"/>
    <w:rsid w:val="3E6D6B6F"/>
    <w:rsid w:val="408D183C"/>
    <w:rsid w:val="42D91F96"/>
    <w:rsid w:val="449B5CBE"/>
    <w:rsid w:val="479C76B2"/>
    <w:rsid w:val="479E37F5"/>
    <w:rsid w:val="49396BB8"/>
    <w:rsid w:val="4A4740DB"/>
    <w:rsid w:val="4B6D65E3"/>
    <w:rsid w:val="4C585F69"/>
    <w:rsid w:val="4EA75730"/>
    <w:rsid w:val="4EF35CA9"/>
    <w:rsid w:val="4F436A5D"/>
    <w:rsid w:val="550E53EB"/>
    <w:rsid w:val="55512A73"/>
    <w:rsid w:val="564E38A5"/>
    <w:rsid w:val="566D67F0"/>
    <w:rsid w:val="57AA7824"/>
    <w:rsid w:val="584D1716"/>
    <w:rsid w:val="5A666328"/>
    <w:rsid w:val="5CA839AB"/>
    <w:rsid w:val="62330B42"/>
    <w:rsid w:val="62762645"/>
    <w:rsid w:val="62D45D8A"/>
    <w:rsid w:val="645020F2"/>
    <w:rsid w:val="646437A0"/>
    <w:rsid w:val="65AA1239"/>
    <w:rsid w:val="66505447"/>
    <w:rsid w:val="66CB1EF3"/>
    <w:rsid w:val="66FA39C2"/>
    <w:rsid w:val="6B1C6BB9"/>
    <w:rsid w:val="6CAD4DFB"/>
    <w:rsid w:val="6DC51408"/>
    <w:rsid w:val="6F6866C0"/>
    <w:rsid w:val="6F717635"/>
    <w:rsid w:val="77D06929"/>
    <w:rsid w:val="784A5C3E"/>
    <w:rsid w:val="79220EE4"/>
    <w:rsid w:val="799C3CAB"/>
    <w:rsid w:val="7D940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cs="Times New Roman"/>
      <w:b/>
      <w:bCs/>
      <w:kern w:val="44"/>
      <w:sz w:val="48"/>
      <w:szCs w:val="48"/>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cs="Times New Roman"/>
      <w:sz w:val="30"/>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309</Words>
  <Characters>1764</Characters>
  <Lines>14</Lines>
  <Paragraphs>4</Paragraphs>
  <TotalTime>0</TotalTime>
  <ScaleCrop>false</ScaleCrop>
  <LinksUpToDate>false</LinksUpToDate>
  <CharactersWithSpaces>2069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2021-03-24T01:42:00Z</dcterms:created>
  <dc:creator>杨怀湘</dc:creator>
  <cp:lastModifiedBy>user</cp:lastModifiedBy>
  <cp:lastPrinted>2025-03-27T07:48:50Z</cp:lastPrinted>
  <dcterms:modified xsi:type="dcterms:W3CDTF">2025-03-27T07:48:52Z</dcterms:modified>
  <dc:title>汕头市随机抽查事项清单（2020年修订）</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9CBEE8C7163E4DDB8F94052DEFD584F2</vt:lpwstr>
  </property>
</Properties>
</file>