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AFF6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u w:val="none"/>
          <w:lang w:val="en-US" w:eastAsia="zh-CN"/>
        </w:rPr>
        <w:t>汕头市金平区公有资产集中公开</w:t>
      </w:r>
    </w:p>
    <w:p w14:paraId="44869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u w:val="none"/>
          <w:lang w:val="en-US" w:eastAsia="zh-CN"/>
        </w:rPr>
        <w:t>交易规则</w:t>
      </w:r>
    </w:p>
    <w:p w14:paraId="7BC6B1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  <w:u w:val="none"/>
          <w:lang w:val="en-US" w:eastAsia="zh-CN"/>
        </w:rPr>
      </w:pPr>
    </w:p>
    <w:p w14:paraId="66224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u w:val="none"/>
          <w:lang w:val="en-US" w:eastAsia="zh-CN"/>
        </w:rPr>
        <w:t>第一条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 xml:space="preserve">  为规范我区公有资产集中公开交易活动，根据《汕头市金平区公有资产集中公开交易管理办法》（以下简称“公有资产交易办法”），制定本规则。</w:t>
      </w:r>
    </w:p>
    <w:p w14:paraId="50230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u w:val="none"/>
          <w:lang w:val="en-US" w:eastAsia="zh-CN"/>
        </w:rPr>
        <w:t xml:space="preserve">第二条 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 xml:space="preserve"> 金平区集体资产交易管理服务中心（以下简称区交易中心）是负责我区公有资产公开交易的事业单位，对所有的进场交易行为不收费。其职能包括：</w:t>
      </w:r>
    </w:p>
    <w:p w14:paraId="45290A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（一）提供交易场所；</w:t>
      </w:r>
    </w:p>
    <w:p w14:paraId="35FA7C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（二）审核交易方案；</w:t>
      </w:r>
    </w:p>
    <w:p w14:paraId="70B59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（三）审核交易资格；</w:t>
      </w:r>
    </w:p>
    <w:p w14:paraId="5E9270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（四）发布信息；</w:t>
      </w:r>
    </w:p>
    <w:p w14:paraId="264E74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（五）咨询服务；</w:t>
      </w:r>
    </w:p>
    <w:p w14:paraId="113622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（六）组织交易；</w:t>
      </w:r>
    </w:p>
    <w:p w14:paraId="3B907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（七）建立和管理交易档案。</w:t>
      </w:r>
    </w:p>
    <w:p w14:paraId="7E1ABC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u w:val="none"/>
          <w:lang w:val="en-US" w:eastAsia="zh-CN"/>
        </w:rPr>
        <w:t>第三条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 xml:space="preserve">  公有资产进入区交易中心交易程序：</w:t>
      </w:r>
    </w:p>
    <w:p w14:paraId="280EC4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u w:val="none"/>
          <w:lang w:val="en-US" w:eastAsia="zh-CN"/>
        </w:rPr>
        <w:t>（一）交易申请</w:t>
      </w:r>
    </w:p>
    <w:p w14:paraId="59C056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1、制定交易方案。公有资产营运机构可以根据标的物实际情况，合理设置受让资格条件，编制资产交易方案（由区交易中心提供参考格式文本）。资产交易方案不应出现具有明确指向性或违反公平竞争等内容。</w:t>
      </w:r>
    </w:p>
    <w:p w14:paraId="5CB08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2、区国资办审查。区国资办对拟进入区交易中心交易的资产的产权、交易方案、合同进行审查。</w:t>
      </w:r>
    </w:p>
    <w:p w14:paraId="09BCC8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3、受理申请。公有资产营运机构向区交易中心提出进场交易申请，并根据《公有资产交易申请资料目录表》，提供相应材料。区交易中心对资产交易方案的可操作性进行审核，决定是否受理。</w:t>
      </w:r>
    </w:p>
    <w:p w14:paraId="2509DC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u w:val="none"/>
          <w:lang w:val="en-US" w:eastAsia="zh-CN"/>
        </w:rPr>
        <w:t>（二）发布交易信息</w:t>
      </w:r>
    </w:p>
    <w:p w14:paraId="3D6CDA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1、对受理交易的项目信息, 区交易中心应当在有关网站上发布公告，公示时间不得少于5日（公示时间含节假日、公休日）。交易保证金缴纳时间比公示时间相应增加1个工作日。</w:t>
      </w:r>
    </w:p>
    <w:p w14:paraId="65A2F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、在发布期限内，未经区交易中心同意，公有资产营运机构不得撤回交易。在信息发布期间，公有资产营运机构如需要变更交易信息、中止或终结交易活动的，需经区国资办同意后，在交易日5日前以书面形式向区交易中心提出申请。发布期限内，因特殊情况需推迟交易时间的，区交易中心应及时在网站上发布公告并通知已报名的竞投人。</w:t>
      </w:r>
    </w:p>
    <w:p w14:paraId="27B698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3、区交易中心应合理安排项目交易，原则上应自受理之日起15个工作日内组织交易。竞投人报名截止期至正式交易日间隔应不少于3个工作日。</w:t>
      </w:r>
    </w:p>
    <w:p w14:paraId="59507B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4、竞投人应在信息发布有效期内向区交易中心报名并根据《竞投人登记及资料确认表》，提供相应材料，缴纳交易保证金。竞投人可以委托第三人进行报名、参与竞投、签订成交确认书等事项。</w:t>
      </w:r>
    </w:p>
    <w:p w14:paraId="53BB71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5、交易标的物</w:t>
      </w:r>
      <w:bookmarkStart w:id="0" w:name="_GoBack"/>
      <w:bookmarkEnd w:id="0"/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按权属现状和品质现状交易。竞投人参与竞投，视为已对交易标的物现状状况充分了解，并愿意按现状及交易方案进行交易。</w:t>
      </w:r>
    </w:p>
    <w:p w14:paraId="0568C7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6、交易保证金标准：按交易底价的一年租金标准计算。保证金缴款人（单位）必须与报名竞投人（单位）一致，保证金必须按交易信息公告要求汇到指定账户，并提供缴款凭证核对。一份保证金只能竞投一宗交易。</w:t>
      </w:r>
    </w:p>
    <w:p w14:paraId="3A9FC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成功竞得的竞投人在合同签订后5个工作日内，到区交易中心取回交易保证金（不计息）。未能成功交易的竞投人所缴纳的保证金在竞投结果公示期满后10个工作日内予以一次性全额无息退回。</w:t>
      </w:r>
    </w:p>
    <w:p w14:paraId="0548D6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楷体" w:hAnsi="楷体" w:eastAsia="楷体" w:cs="楷体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u w:val="none"/>
          <w:lang w:val="en-US" w:eastAsia="zh-CN"/>
        </w:rPr>
        <w:t>（三）区交易中心组织交易</w:t>
      </w:r>
    </w:p>
    <w:p w14:paraId="347E0E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1、公有资产营运机构必须与区交易中心签订《交易委托书》，委托中心办理交易有关事宜。</w:t>
      </w:r>
    </w:p>
    <w:p w14:paraId="11524E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2、交易双方必须配合区交易中心组织交易的相关工作，服从区交易中心的安排，遵守交易办法、交易规则及交易其他相关规定。</w:t>
      </w:r>
    </w:p>
    <w:p w14:paraId="74C3CC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3、区交易中心交易竞投方式：采用举牌竞价、书面报价竞投方式。</w:t>
      </w:r>
    </w:p>
    <w:p w14:paraId="24A3E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4、交易条件达成一致后，交易双方应当在区交易中心现场签订《成交确认书》，并相互约定签订合同的时间。</w:t>
      </w:r>
    </w:p>
    <w:p w14:paraId="2CC857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5、区交易中心将成交结果在交易信息网站(jpzc.gdjinping.gov.cn)发布，公示时间不少于5日（公示时间含节假日、公休日）。</w:t>
      </w:r>
    </w:p>
    <w:p w14:paraId="1C5827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6、公示期满无异议，交易双方应按约定时间签订合同。若竞得人无正当理由不与公有资产营运机构签订合同的，视为放弃交易，缴纳的交易保证金不予退回。</w:t>
      </w:r>
    </w:p>
    <w:p w14:paraId="688C11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u w:val="none"/>
          <w:lang w:val="en-US" w:eastAsia="zh-CN"/>
        </w:rPr>
        <w:t xml:space="preserve">第四条 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 xml:space="preserve"> 本交易规则经区集体、公有资产交易领导小组审查通过，由区交易中心负责解释。</w:t>
      </w:r>
    </w:p>
    <w:p w14:paraId="41A04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</w:p>
    <w:p w14:paraId="6459F1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附：举牌竞投规则、书面报价竞投规则。</w:t>
      </w:r>
    </w:p>
    <w:sectPr>
      <w:footerReference r:id="rId3" w:type="default"/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EEAC3C">
    <w:pPr>
      <w:pStyle w:val="2"/>
      <w:jc w:val="center"/>
      <w:rPr>
        <w:sz w:val="28"/>
        <w:szCs w:val="28"/>
      </w:rPr>
    </w:pPr>
  </w:p>
  <w:p w14:paraId="0C728291">
    <w:pPr>
      <w:pStyle w:val="2"/>
      <w:jc w:val="center"/>
      <w:rPr>
        <w:sz w:val="28"/>
        <w:szCs w:val="28"/>
      </w:rPr>
    </w:pPr>
    <w:r>
      <w:rPr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\* MERGEFORMAT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sz w:val="28"/>
        <w:szCs w:val="28"/>
      </w:rPr>
      <w:t xml:space="preserve"> —</w:t>
    </w:r>
  </w:p>
  <w:p w14:paraId="27A6186F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9C03E7"/>
    <w:rsid w:val="27390AC4"/>
    <w:rsid w:val="33945A9B"/>
    <w:rsid w:val="361D7802"/>
    <w:rsid w:val="71492E32"/>
    <w:rsid w:val="7791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1463</Words>
  <Characters>1487</Characters>
  <Lines>0</Lines>
  <Paragraphs>0</Paragraphs>
  <TotalTime>0</TotalTime>
  <ScaleCrop>false</ScaleCrop>
  <LinksUpToDate>false</LinksUpToDate>
  <CharactersWithSpaces>1496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2025-06-30T02:02:00Z</dcterms:created>
  <dc:creator>Administrator</dc:creator>
  <cp:lastModifiedBy>李植涵</cp:lastModifiedBy>
  <dcterms:modified xsi:type="dcterms:W3CDTF">2025-07-02T07:16:10Z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eyJoZGlkIjoiZTg2MDUyMjlhYTFkNjAwMTBmZWY2YTEzMWUyMDNmZWUiLCJ1c2VySWQiOiIzMzg5OTkyMTYifQ==</vt:lpwstr>
  </property>
  <property fmtid="{D5CDD505-2E9C-101B-9397-08002B2CF9AE}" pid="4" name="ICV">
    <vt:lpwstr>C80F78AC934544C2A44FA020B2D3ADF3_12</vt:lpwstr>
  </property>
</Properties>
</file>