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《汕头市金平区人民政府2018年度法治政府建设情况报告》的解读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666666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666666"/>
          <w:kern w:val="2"/>
          <w:sz w:val="32"/>
          <w:szCs w:val="32"/>
        </w:rPr>
        <w:t>一、制定背景：</w:t>
      </w:r>
      <w:r>
        <w:rPr>
          <w:rFonts w:hint="eastAsia" w:ascii="仿宋" w:hAnsi="仿宋" w:eastAsia="仿宋"/>
          <w:color w:val="424242"/>
          <w:sz w:val="32"/>
          <w:szCs w:val="32"/>
          <w:shd w:val="clear" w:color="auto" w:fill="FFFFFF"/>
        </w:rPr>
        <w:t>2018年，金平区坚持以习近平新时代中国特色社会主义思想为指导，全面贯彻党的十九大和十九届二中、三中全会精神，深入贯彻落实习近平总书记视察广东重要讲话精神，按照中央、省、市关于全面深化改革和依法治国的决策部署，</w:t>
      </w:r>
      <w:r>
        <w:rPr>
          <w:rFonts w:hint="eastAsia" w:ascii="仿宋" w:hAnsi="仿宋" w:eastAsia="仿宋"/>
          <w:color w:val="424242"/>
          <w:sz w:val="32"/>
          <w:szCs w:val="32"/>
        </w:rPr>
        <w:t>紧紧围绕我区改革发展稳定大局和建设法治金平的目标任务，进一步深化行政体制改革，切实转变政府职能，全方位推进我区法治政府建设工作。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666666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666666"/>
          <w:kern w:val="2"/>
          <w:sz w:val="32"/>
          <w:szCs w:val="32"/>
        </w:rPr>
        <w:t>二、主要内容：</w:t>
      </w:r>
    </w:p>
    <w:p>
      <w:pPr>
        <w:adjustRightInd/>
        <w:snapToGrid/>
        <w:spacing w:line="540" w:lineRule="exact"/>
        <w:rPr>
          <w:rFonts w:ascii="仿宋" w:hAnsi="仿宋" w:eastAsia="仿宋"/>
          <w:color w:val="424242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424242"/>
          <w:kern w:val="2"/>
          <w:sz w:val="32"/>
          <w:szCs w:val="32"/>
          <w:shd w:val="clear" w:color="auto" w:fill="FFFFFF"/>
        </w:rPr>
        <w:t xml:space="preserve">1、统筹规划依法行政工作 </w:t>
      </w:r>
    </w:p>
    <w:p>
      <w:pPr>
        <w:adjustRightInd/>
        <w:snapToGrid/>
        <w:spacing w:line="540" w:lineRule="exact"/>
        <w:rPr>
          <w:rFonts w:ascii="仿宋" w:hAnsi="仿宋" w:eastAsia="仿宋"/>
          <w:color w:val="424242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424242"/>
          <w:kern w:val="2"/>
          <w:sz w:val="32"/>
          <w:szCs w:val="32"/>
          <w:shd w:val="clear" w:color="auto" w:fill="FFFFFF"/>
        </w:rPr>
        <w:t>2、依法全面履行政府职能</w:t>
      </w:r>
    </w:p>
    <w:p>
      <w:pPr>
        <w:adjustRightInd/>
        <w:snapToGrid/>
        <w:spacing w:line="540" w:lineRule="exact"/>
        <w:rPr>
          <w:rFonts w:ascii="仿宋" w:hAnsi="仿宋" w:eastAsia="仿宋"/>
          <w:color w:val="424242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424242"/>
          <w:kern w:val="2"/>
          <w:sz w:val="32"/>
          <w:szCs w:val="32"/>
          <w:shd w:val="clear" w:color="auto" w:fill="FFFFFF"/>
        </w:rPr>
        <w:t xml:space="preserve">3、完善依法行政制度体系 </w:t>
      </w:r>
    </w:p>
    <w:p>
      <w:pPr>
        <w:adjustRightInd/>
        <w:snapToGrid/>
        <w:spacing w:line="540" w:lineRule="exact"/>
        <w:rPr>
          <w:rFonts w:ascii="仿宋" w:hAnsi="仿宋" w:eastAsia="仿宋"/>
          <w:color w:val="424242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424242"/>
          <w:kern w:val="2"/>
          <w:sz w:val="32"/>
          <w:szCs w:val="32"/>
          <w:shd w:val="clear" w:color="auto" w:fill="FFFFFF"/>
        </w:rPr>
        <w:t xml:space="preserve">4、推进行政决策科学化、民主化、法治化 </w:t>
      </w:r>
    </w:p>
    <w:p>
      <w:pPr>
        <w:adjustRightInd/>
        <w:snapToGrid/>
        <w:spacing w:line="540" w:lineRule="exact"/>
        <w:rPr>
          <w:rFonts w:ascii="仿宋" w:hAnsi="仿宋" w:eastAsia="仿宋"/>
          <w:color w:val="424242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424242"/>
          <w:kern w:val="2"/>
          <w:sz w:val="32"/>
          <w:szCs w:val="32"/>
          <w:shd w:val="clear" w:color="auto" w:fill="FFFFFF"/>
        </w:rPr>
        <w:t xml:space="preserve">5、坚持严格规范公正文明执法 </w:t>
      </w:r>
    </w:p>
    <w:p>
      <w:pPr>
        <w:adjustRightInd/>
        <w:snapToGrid/>
        <w:spacing w:line="540" w:lineRule="exact"/>
        <w:rPr>
          <w:rFonts w:ascii="仿宋" w:hAnsi="仿宋" w:eastAsia="仿宋"/>
          <w:color w:val="424242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424242"/>
          <w:kern w:val="2"/>
          <w:sz w:val="32"/>
          <w:szCs w:val="32"/>
          <w:shd w:val="clear" w:color="auto" w:fill="FFFFFF"/>
        </w:rPr>
        <w:t xml:space="preserve">6、强化对行政权力运行的监督制约 </w:t>
      </w:r>
    </w:p>
    <w:p>
      <w:pPr>
        <w:adjustRightInd/>
        <w:snapToGrid/>
        <w:spacing w:line="540" w:lineRule="exact"/>
        <w:rPr>
          <w:rFonts w:ascii="仿宋" w:hAnsi="仿宋" w:eastAsia="仿宋"/>
          <w:color w:val="424242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424242"/>
          <w:kern w:val="2"/>
          <w:sz w:val="32"/>
          <w:szCs w:val="32"/>
          <w:shd w:val="clear" w:color="auto" w:fill="FFFFFF"/>
        </w:rPr>
        <w:t>7、全面推进政务公开</w:t>
      </w:r>
    </w:p>
    <w:p>
      <w:pPr>
        <w:adjustRightInd/>
        <w:snapToGrid/>
        <w:spacing w:line="540" w:lineRule="exact"/>
        <w:rPr>
          <w:rFonts w:ascii="仿宋" w:hAnsi="仿宋" w:eastAsia="仿宋"/>
          <w:color w:val="424242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424242"/>
          <w:kern w:val="2"/>
          <w:sz w:val="32"/>
          <w:szCs w:val="32"/>
          <w:shd w:val="clear" w:color="auto" w:fill="FFFFFF"/>
        </w:rPr>
        <w:t xml:space="preserve">8、依法有效化解社会矛盾纠纷 </w:t>
      </w:r>
      <w:r>
        <w:rPr>
          <w:rFonts w:hint="eastAsia" w:ascii="仿宋" w:hAnsi="仿宋" w:eastAsia="仿宋"/>
          <w:color w:val="424242"/>
          <w:kern w:val="2"/>
          <w:sz w:val="32"/>
          <w:szCs w:val="32"/>
          <w:shd w:val="clear" w:color="auto" w:fill="FFFFFF"/>
        </w:rPr>
        <w:tab/>
      </w:r>
    </w:p>
    <w:p>
      <w:pPr>
        <w:adjustRightInd/>
        <w:snapToGrid/>
        <w:spacing w:line="540" w:lineRule="exact"/>
        <w:rPr>
          <w:rFonts w:ascii="仿宋" w:hAnsi="仿宋" w:eastAsia="仿宋"/>
          <w:color w:val="424242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424242"/>
          <w:kern w:val="2"/>
          <w:sz w:val="32"/>
          <w:szCs w:val="32"/>
          <w:shd w:val="clear" w:color="auto" w:fill="FFFFFF"/>
        </w:rPr>
        <w:t xml:space="preserve">9、进一步提高政府工作人员法治思维和依法行政能力 </w:t>
      </w:r>
    </w:p>
    <w:p>
      <w:pPr>
        <w:adjustRightInd/>
        <w:snapToGrid/>
        <w:spacing w:line="540" w:lineRule="exact"/>
        <w:rPr>
          <w:rFonts w:ascii="仿宋" w:hAnsi="仿宋" w:eastAsia="仿宋"/>
          <w:color w:val="42424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228ED"/>
    <w:rsid w:val="00086B29"/>
    <w:rsid w:val="003012C4"/>
    <w:rsid w:val="00323B43"/>
    <w:rsid w:val="00393BCA"/>
    <w:rsid w:val="003D37D8"/>
    <w:rsid w:val="00410D66"/>
    <w:rsid w:val="00426133"/>
    <w:rsid w:val="004358AB"/>
    <w:rsid w:val="004406C2"/>
    <w:rsid w:val="00465724"/>
    <w:rsid w:val="00473CC1"/>
    <w:rsid w:val="004D7F1A"/>
    <w:rsid w:val="00581A81"/>
    <w:rsid w:val="00594EB4"/>
    <w:rsid w:val="005A1B1F"/>
    <w:rsid w:val="007D76B3"/>
    <w:rsid w:val="00803AAD"/>
    <w:rsid w:val="0083269D"/>
    <w:rsid w:val="00836B9C"/>
    <w:rsid w:val="008B7726"/>
    <w:rsid w:val="00921464"/>
    <w:rsid w:val="009C2A34"/>
    <w:rsid w:val="009D24C3"/>
    <w:rsid w:val="00AC2B56"/>
    <w:rsid w:val="00B650FB"/>
    <w:rsid w:val="00CD163F"/>
    <w:rsid w:val="00D20E0F"/>
    <w:rsid w:val="00D31D50"/>
    <w:rsid w:val="00D53273"/>
    <w:rsid w:val="00D61A78"/>
    <w:rsid w:val="00DA1B67"/>
    <w:rsid w:val="00ED03DA"/>
    <w:rsid w:val="6D6E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E1802D-6F37-44EA-B379-6FE640E3DB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297</Words>
  <Characters>1699</Characters>
  <Lines>14</Lines>
  <Paragraphs>3</Paragraphs>
  <TotalTime>333</TotalTime>
  <ScaleCrop>false</ScaleCrop>
  <LinksUpToDate>false</LinksUpToDate>
  <CharactersWithSpaces>1993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2020-09-11T08:38:00Z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