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CEC68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 w14:paraId="73559B09">
      <w:pPr>
        <w:pStyle w:val="19"/>
        <w:jc w:val="center"/>
        <w:rPr>
          <w:rFonts w:ascii="方正小标宋简体" w:hAnsi="宋体" w:eastAsia="方正小标宋简体"/>
          <w:color w:val="000000"/>
          <w:sz w:val="44"/>
          <w:szCs w:val="40"/>
        </w:rPr>
      </w:pPr>
      <w:r>
        <w:rPr>
          <w:rFonts w:hint="eastAsia" w:ascii="方正小标宋简体" w:hAnsi="宋体" w:eastAsia="方正小标宋简体"/>
          <w:color w:val="000000"/>
          <w:sz w:val="44"/>
          <w:szCs w:val="40"/>
        </w:rPr>
        <w:t>202</w:t>
      </w:r>
      <w:r>
        <w:rPr>
          <w:rFonts w:hint="eastAsia" w:ascii="方正小标宋简体" w:hAnsi="宋体" w:eastAsia="方正小标宋简体"/>
          <w:color w:val="000000"/>
          <w:sz w:val="44"/>
          <w:szCs w:val="40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000000"/>
          <w:sz w:val="44"/>
          <w:szCs w:val="40"/>
        </w:rPr>
        <w:t>年</w:t>
      </w:r>
      <w:r>
        <w:rPr>
          <w:rFonts w:hint="eastAsia" w:ascii="方正小标宋简体" w:hAnsi="宋体" w:eastAsia="方正小标宋简体"/>
          <w:color w:val="000000"/>
          <w:sz w:val="44"/>
          <w:szCs w:val="40"/>
          <w:lang w:val="en-US" w:eastAsia="zh-CN"/>
        </w:rPr>
        <w:t>金平</w:t>
      </w:r>
      <w:r>
        <w:rPr>
          <w:rFonts w:hint="eastAsia" w:ascii="方正小标宋简体" w:hAnsi="宋体" w:eastAsia="方正小标宋简体"/>
          <w:color w:val="000000"/>
          <w:sz w:val="44"/>
          <w:szCs w:val="40"/>
        </w:rPr>
        <w:t>区国民经济和社会发展统计公报</w:t>
      </w:r>
    </w:p>
    <w:p w14:paraId="4A6433CC">
      <w:pPr>
        <w:pStyle w:val="19"/>
        <w:jc w:val="center"/>
        <w:rPr>
          <w:rFonts w:ascii="方正楷体简体" w:hAnsi="楷体" w:eastAsia="方正楷体简体"/>
          <w:color w:val="000000"/>
          <w:sz w:val="32"/>
          <w:szCs w:val="32"/>
        </w:rPr>
      </w:pPr>
    </w:p>
    <w:p w14:paraId="5E47B698">
      <w:pPr>
        <w:pStyle w:val="19"/>
        <w:jc w:val="center"/>
        <w:rPr>
          <w:rFonts w:hint="eastAsia" w:ascii="方正楷体简体" w:hAnsi="楷体" w:eastAsia="方正楷体简体" w:cs="楷体"/>
          <w:color w:val="000000"/>
          <w:sz w:val="32"/>
          <w:szCs w:val="32"/>
        </w:rPr>
      </w:pPr>
      <w:r>
        <w:rPr>
          <w:rFonts w:hint="eastAsia" w:ascii="方正楷体简体" w:hAnsi="楷体" w:eastAsia="方正楷体简体" w:cs="楷体"/>
          <w:color w:val="000000"/>
          <w:sz w:val="32"/>
          <w:szCs w:val="32"/>
          <w:lang w:val="en-US" w:eastAsia="zh-CN"/>
        </w:rPr>
        <w:t>金平</w:t>
      </w:r>
      <w:r>
        <w:rPr>
          <w:rFonts w:hint="eastAsia" w:ascii="方正楷体简体" w:hAnsi="楷体" w:eastAsia="方正楷体简体" w:cs="楷体"/>
          <w:color w:val="000000"/>
          <w:sz w:val="32"/>
          <w:szCs w:val="32"/>
        </w:rPr>
        <w:t>区统计局</w:t>
      </w:r>
    </w:p>
    <w:p w14:paraId="46153959">
      <w:pPr>
        <w:pStyle w:val="19"/>
        <w:jc w:val="center"/>
        <w:rPr>
          <w:rFonts w:hint="eastAsia" w:ascii="方正楷体简体" w:hAnsi="楷体" w:eastAsia="方正楷体简体" w:cs="楷体"/>
          <w:color w:val="000000"/>
          <w:sz w:val="32"/>
          <w:szCs w:val="32"/>
          <w:lang w:eastAsia="zh-CN"/>
        </w:rPr>
      </w:pPr>
      <w:r>
        <w:rPr>
          <w:rFonts w:hint="eastAsia" w:ascii="方正楷体简体" w:hAnsi="楷体" w:eastAsia="方正楷体简体" w:cs="楷体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楷体简体" w:hAnsi="楷体" w:eastAsia="方正楷体简体" w:cs="楷体"/>
          <w:color w:val="000000"/>
          <w:sz w:val="32"/>
          <w:szCs w:val="32"/>
          <w:lang w:val="en-US" w:eastAsia="zh-CN"/>
        </w:rPr>
        <w:t>月）</w:t>
      </w:r>
    </w:p>
    <w:p w14:paraId="0872BE2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 w14:paraId="2731833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黑体简体" w:hAnsi="Times New Roman" w:eastAsia="方正黑体简体" w:cs="Times New Roman"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color w:val="000000"/>
          <w:sz w:val="32"/>
          <w:szCs w:val="32"/>
        </w:rPr>
        <w:t>一、地区生产总值</w:t>
      </w:r>
    </w:p>
    <w:p w14:paraId="196B60C4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2812564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根据汕头市地区生产总值统一核算结果，2024年，我区地区生产总值648.85亿元，按不变价格计算，同比增长1.3%。其中，第一产业增加值3.25亿元，同比增长2.0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；第二产业增加值220.60亿元，同比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5.5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；第三产业增加值424.99亿元，同比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5.1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。三次产业结构比重为0.5∶34.0∶65.5。人均地区生产总值84134元。</w:t>
      </w:r>
    </w:p>
    <w:p w14:paraId="020A5D7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hAnsi="Times New Roman" w:eastAsia="方正仿宋简体" w:cs="Times New Roman"/>
          <w:sz w:val="32"/>
          <w:szCs w:val="32"/>
        </w:rPr>
      </w:pPr>
    </w:p>
    <w:p w14:paraId="539B5F1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表 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年全区地区生产总值情况</w:t>
      </w:r>
    </w:p>
    <w:p w14:paraId="2173ECD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Times New Roman" w:hAnsi="Times New Roman" w:eastAsia="方正仿宋简体" w:cs="Times New Roman"/>
          <w:sz w:val="32"/>
          <w:szCs w:val="32"/>
        </w:rPr>
      </w:pPr>
    </w:p>
    <w:tbl>
      <w:tblPr>
        <w:tblStyle w:val="12"/>
        <w:tblW w:w="870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903"/>
        <w:gridCol w:w="2903"/>
      </w:tblGrid>
      <w:tr w14:paraId="0E0CB1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2" w:type="dxa"/>
            <w:tcBorders>
              <w:bottom w:val="single" w:color="auto" w:sz="4" w:space="0"/>
            </w:tcBorders>
            <w:vAlign w:val="top"/>
          </w:tcPr>
          <w:p w14:paraId="6E55B93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指标</w:t>
            </w:r>
          </w:p>
        </w:tc>
        <w:tc>
          <w:tcPr>
            <w:tcW w:w="2903" w:type="dxa"/>
            <w:tcBorders>
              <w:bottom w:val="single" w:color="auto" w:sz="4" w:space="0"/>
            </w:tcBorders>
            <w:vAlign w:val="top"/>
          </w:tcPr>
          <w:p w14:paraId="5CF32C5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全年完成（亿元）</w:t>
            </w:r>
          </w:p>
        </w:tc>
        <w:tc>
          <w:tcPr>
            <w:tcW w:w="2903" w:type="dxa"/>
            <w:tcBorders>
              <w:bottom w:val="single" w:color="auto" w:sz="4" w:space="0"/>
            </w:tcBorders>
            <w:vAlign w:val="top"/>
          </w:tcPr>
          <w:p w14:paraId="10172EA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2"/>
              </w:rPr>
              <w:t>全年增速（%）</w:t>
            </w:r>
          </w:p>
        </w:tc>
      </w:tr>
      <w:tr w14:paraId="109CB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tcBorders>
              <w:top w:val="single" w:color="auto" w:sz="4" w:space="0"/>
            </w:tcBorders>
            <w:vAlign w:val="center"/>
          </w:tcPr>
          <w:p w14:paraId="5F79C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>地区生产总值</w:t>
            </w:r>
          </w:p>
        </w:tc>
        <w:tc>
          <w:tcPr>
            <w:tcW w:w="2903" w:type="dxa"/>
            <w:tcBorders>
              <w:top w:val="single" w:color="auto" w:sz="4" w:space="0"/>
            </w:tcBorders>
            <w:vAlign w:val="center"/>
          </w:tcPr>
          <w:p w14:paraId="2A67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648.85</w:t>
            </w:r>
          </w:p>
        </w:tc>
        <w:tc>
          <w:tcPr>
            <w:tcW w:w="2903" w:type="dxa"/>
            <w:tcBorders>
              <w:top w:val="single" w:color="auto" w:sz="4" w:space="0"/>
            </w:tcBorders>
            <w:vAlign w:val="center"/>
          </w:tcPr>
          <w:p w14:paraId="5CD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2"/>
                <w:szCs w:val="22"/>
                <w:highlight w:val="none"/>
                <w:lang w:val="en-US" w:eastAsia="zh-CN"/>
              </w:rPr>
              <w:t>1.3</w:t>
            </w:r>
          </w:p>
        </w:tc>
      </w:tr>
      <w:tr w14:paraId="6D4E64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1175A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第一产业</w:t>
            </w:r>
          </w:p>
        </w:tc>
        <w:tc>
          <w:tcPr>
            <w:tcW w:w="2903" w:type="dxa"/>
            <w:vAlign w:val="center"/>
          </w:tcPr>
          <w:p w14:paraId="27DB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2"/>
                <w:szCs w:val="22"/>
                <w:highlight w:val="none"/>
                <w:lang w:val="en-US" w:eastAsia="zh-CN"/>
              </w:rPr>
              <w:t>3.25</w:t>
            </w:r>
          </w:p>
        </w:tc>
        <w:tc>
          <w:tcPr>
            <w:tcW w:w="2903" w:type="dxa"/>
            <w:vAlign w:val="center"/>
          </w:tcPr>
          <w:p w14:paraId="09C1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</w:t>
            </w:r>
          </w:p>
        </w:tc>
      </w:tr>
      <w:tr w14:paraId="47CA29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2CB23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第二产业</w:t>
            </w:r>
          </w:p>
        </w:tc>
        <w:tc>
          <w:tcPr>
            <w:tcW w:w="2903" w:type="dxa"/>
            <w:vAlign w:val="center"/>
          </w:tcPr>
          <w:p w14:paraId="34B8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2"/>
                <w:szCs w:val="22"/>
                <w:highlight w:val="none"/>
                <w:lang w:val="en-US" w:eastAsia="zh-CN"/>
              </w:rPr>
              <w:t>220.60</w:t>
            </w:r>
          </w:p>
        </w:tc>
        <w:tc>
          <w:tcPr>
            <w:tcW w:w="2903" w:type="dxa"/>
            <w:vAlign w:val="center"/>
          </w:tcPr>
          <w:p w14:paraId="1528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1100" w:firstLineChars="500"/>
              <w:jc w:val="both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-5.5</w:t>
            </w:r>
          </w:p>
        </w:tc>
      </w:tr>
      <w:tr w14:paraId="1ECF42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51192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第三产业</w:t>
            </w:r>
          </w:p>
        </w:tc>
        <w:tc>
          <w:tcPr>
            <w:tcW w:w="2903" w:type="dxa"/>
            <w:vAlign w:val="center"/>
          </w:tcPr>
          <w:p w14:paraId="68B0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24.99</w:t>
            </w:r>
          </w:p>
        </w:tc>
        <w:tc>
          <w:tcPr>
            <w:tcW w:w="2903" w:type="dxa"/>
            <w:vAlign w:val="center"/>
          </w:tcPr>
          <w:p w14:paraId="27A3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5.1  </w:t>
            </w:r>
          </w:p>
        </w:tc>
      </w:tr>
      <w:tr w14:paraId="32CDD4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3EDE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>按主要行业分：</w:t>
            </w:r>
          </w:p>
        </w:tc>
        <w:tc>
          <w:tcPr>
            <w:tcW w:w="2903" w:type="dxa"/>
            <w:vAlign w:val="center"/>
          </w:tcPr>
          <w:p w14:paraId="310AA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</w:p>
        </w:tc>
        <w:tc>
          <w:tcPr>
            <w:tcW w:w="2903" w:type="dxa"/>
            <w:vAlign w:val="center"/>
          </w:tcPr>
          <w:p w14:paraId="0AB99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</w:p>
        </w:tc>
      </w:tr>
      <w:tr w14:paraId="0620ED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6CDDD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农林牧渔业</w:t>
            </w:r>
          </w:p>
        </w:tc>
        <w:tc>
          <w:tcPr>
            <w:tcW w:w="2903" w:type="dxa"/>
            <w:vAlign w:val="center"/>
          </w:tcPr>
          <w:p w14:paraId="5AF4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3.63</w:t>
            </w:r>
          </w:p>
        </w:tc>
        <w:tc>
          <w:tcPr>
            <w:tcW w:w="2903" w:type="dxa"/>
            <w:vAlign w:val="center"/>
          </w:tcPr>
          <w:p w14:paraId="61D1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</w:t>
            </w:r>
          </w:p>
        </w:tc>
      </w:tr>
      <w:tr w14:paraId="2C7C5A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57694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工业</w:t>
            </w:r>
          </w:p>
        </w:tc>
        <w:tc>
          <w:tcPr>
            <w:tcW w:w="2903" w:type="dxa"/>
            <w:vAlign w:val="center"/>
          </w:tcPr>
          <w:p w14:paraId="14AF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172.53</w:t>
            </w:r>
          </w:p>
        </w:tc>
        <w:tc>
          <w:tcPr>
            <w:tcW w:w="2903" w:type="dxa"/>
            <w:vAlign w:val="center"/>
          </w:tcPr>
          <w:p w14:paraId="7579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-2.5</w:t>
            </w:r>
          </w:p>
        </w:tc>
      </w:tr>
      <w:tr w14:paraId="34F912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6E53D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建筑业</w:t>
            </w:r>
          </w:p>
        </w:tc>
        <w:tc>
          <w:tcPr>
            <w:tcW w:w="2903" w:type="dxa"/>
            <w:vAlign w:val="center"/>
          </w:tcPr>
          <w:p w14:paraId="3B92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50.42</w:t>
            </w:r>
          </w:p>
        </w:tc>
        <w:tc>
          <w:tcPr>
            <w:tcW w:w="2903" w:type="dxa"/>
            <w:vAlign w:val="center"/>
          </w:tcPr>
          <w:p w14:paraId="528A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-13.4</w:t>
            </w:r>
          </w:p>
        </w:tc>
      </w:tr>
      <w:tr w14:paraId="2AEC36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0D2F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批发和零售业</w:t>
            </w:r>
          </w:p>
        </w:tc>
        <w:tc>
          <w:tcPr>
            <w:tcW w:w="2903" w:type="dxa"/>
            <w:vAlign w:val="center"/>
          </w:tcPr>
          <w:p w14:paraId="7613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87.32</w:t>
            </w:r>
          </w:p>
        </w:tc>
        <w:tc>
          <w:tcPr>
            <w:tcW w:w="2903" w:type="dxa"/>
            <w:vAlign w:val="center"/>
          </w:tcPr>
          <w:p w14:paraId="6511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-1.2</w:t>
            </w:r>
          </w:p>
        </w:tc>
      </w:tr>
      <w:tr w14:paraId="01497B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7589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交通运输、仓储和邮政业</w:t>
            </w:r>
          </w:p>
        </w:tc>
        <w:tc>
          <w:tcPr>
            <w:tcW w:w="2903" w:type="dxa"/>
            <w:vAlign w:val="center"/>
          </w:tcPr>
          <w:p w14:paraId="15B7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20.42</w:t>
            </w:r>
          </w:p>
        </w:tc>
        <w:tc>
          <w:tcPr>
            <w:tcW w:w="2903" w:type="dxa"/>
            <w:vAlign w:val="center"/>
          </w:tcPr>
          <w:p w14:paraId="0CF1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9.5</w:t>
            </w:r>
          </w:p>
        </w:tc>
      </w:tr>
      <w:tr w14:paraId="59A866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64BC1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住宿和餐饮业</w:t>
            </w:r>
          </w:p>
        </w:tc>
        <w:tc>
          <w:tcPr>
            <w:tcW w:w="2903" w:type="dxa"/>
            <w:vAlign w:val="center"/>
          </w:tcPr>
          <w:p w14:paraId="3A6F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18.41</w:t>
            </w:r>
          </w:p>
        </w:tc>
        <w:tc>
          <w:tcPr>
            <w:tcW w:w="2903" w:type="dxa"/>
            <w:vAlign w:val="center"/>
          </w:tcPr>
          <w:p w14:paraId="2413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9.8</w:t>
            </w:r>
          </w:p>
        </w:tc>
      </w:tr>
      <w:tr w14:paraId="429364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610F6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金融业</w:t>
            </w:r>
          </w:p>
        </w:tc>
        <w:tc>
          <w:tcPr>
            <w:tcW w:w="2903" w:type="dxa"/>
            <w:vAlign w:val="center"/>
          </w:tcPr>
          <w:p w14:paraId="0344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40.89</w:t>
            </w:r>
          </w:p>
        </w:tc>
        <w:tc>
          <w:tcPr>
            <w:tcW w:w="2903" w:type="dxa"/>
            <w:vAlign w:val="center"/>
          </w:tcPr>
          <w:p w14:paraId="17B6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10.0</w:t>
            </w:r>
          </w:p>
        </w:tc>
      </w:tr>
      <w:tr w14:paraId="437894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902" w:type="dxa"/>
            <w:vAlign w:val="center"/>
          </w:tcPr>
          <w:p w14:paraId="15C72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房地产业</w:t>
            </w:r>
          </w:p>
        </w:tc>
        <w:tc>
          <w:tcPr>
            <w:tcW w:w="2903" w:type="dxa"/>
            <w:vAlign w:val="center"/>
          </w:tcPr>
          <w:p w14:paraId="36FE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53.88</w:t>
            </w:r>
          </w:p>
        </w:tc>
        <w:tc>
          <w:tcPr>
            <w:tcW w:w="2903" w:type="dxa"/>
            <w:vAlign w:val="center"/>
          </w:tcPr>
          <w:p w14:paraId="1A3C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 w14:paraId="52479C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2" w:type="dxa"/>
            <w:vAlign w:val="center"/>
          </w:tcPr>
          <w:p w14:paraId="5C2B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eastAsia="方正仿宋简体"/>
                <w:sz w:val="22"/>
                <w:szCs w:val="22"/>
                <w:highlight w:val="none"/>
              </w:rPr>
            </w:pPr>
            <w:r>
              <w:rPr>
                <w:rFonts w:eastAsia="方正仿宋简体"/>
                <w:sz w:val="22"/>
                <w:szCs w:val="22"/>
                <w:highlight w:val="none"/>
              </w:rPr>
              <w:t xml:space="preserve">  其他服务业</w:t>
            </w:r>
          </w:p>
        </w:tc>
        <w:tc>
          <w:tcPr>
            <w:tcW w:w="2903" w:type="dxa"/>
            <w:vAlign w:val="center"/>
          </w:tcPr>
          <w:p w14:paraId="542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201.35</w:t>
            </w:r>
          </w:p>
        </w:tc>
        <w:tc>
          <w:tcPr>
            <w:tcW w:w="2903" w:type="dxa"/>
            <w:vAlign w:val="center"/>
          </w:tcPr>
          <w:p w14:paraId="010E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6.7</w:t>
            </w:r>
          </w:p>
        </w:tc>
      </w:tr>
    </w:tbl>
    <w:p w14:paraId="76AFEEAD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ascii="Times New Roman" w:hAnsi="Times New Roman" w:eastAsia="方正仿宋简体" w:cs="Times New Roman"/>
          <w:sz w:val="32"/>
          <w:szCs w:val="32"/>
        </w:rPr>
      </w:pPr>
    </w:p>
    <w:p w14:paraId="669C6B5D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ascii="方正黑体简体" w:hAnsi="Times New Roman" w:eastAsia="方正黑体简体" w:cs="Times New Roman"/>
          <w:color w:val="000000"/>
          <w:sz w:val="32"/>
          <w:szCs w:val="32"/>
        </w:rPr>
      </w:pPr>
    </w:p>
    <w:p w14:paraId="2F9A6CB4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ascii="方正黑体简体" w:hAnsi="Times New Roman" w:eastAsia="方正黑体简体" w:cs="Times New Roman"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color w:val="000000"/>
          <w:sz w:val="32"/>
          <w:szCs w:val="32"/>
        </w:rPr>
        <w:t>二、农业</w:t>
      </w:r>
    </w:p>
    <w:p w14:paraId="300CE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eastAsia="方正仿宋简体"/>
          <w:sz w:val="32"/>
          <w:szCs w:val="32"/>
        </w:rPr>
      </w:pPr>
    </w:p>
    <w:p w14:paraId="7E52E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outlineLvl w:val="9"/>
        <w:rPr>
          <w:rFonts w:hint="eastAsia" w:eastAsia="方正仿宋简体"/>
          <w:color w:val="000000"/>
          <w:sz w:val="32"/>
          <w:szCs w:val="32"/>
          <w:highlight w:val="none"/>
        </w:rPr>
      </w:pPr>
      <w:r>
        <w:rPr>
          <w:rFonts w:eastAsia="方正仿宋简体"/>
          <w:color w:val="000000"/>
          <w:sz w:val="32"/>
          <w:szCs w:val="32"/>
          <w:highlight w:val="none"/>
        </w:rPr>
        <w:t>全年全区完成农林牧渔业总产值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6.26</w:t>
      </w:r>
      <w:r>
        <w:rPr>
          <w:rFonts w:eastAsia="方正仿宋简体"/>
          <w:color w:val="000000"/>
          <w:sz w:val="32"/>
          <w:szCs w:val="32"/>
          <w:highlight w:val="none"/>
        </w:rPr>
        <w:t>亿元，增长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0.2</w:t>
      </w:r>
      <w:r>
        <w:rPr>
          <w:rFonts w:eastAsia="方正仿宋简体"/>
          <w:color w:val="000000"/>
          <w:sz w:val="32"/>
          <w:szCs w:val="32"/>
          <w:highlight w:val="none"/>
        </w:rPr>
        <w:t>%。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其中农业产值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2.67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亿元，同比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下降0.1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%；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林业产值115万元，同比增长52.0%；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渔业产值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2.77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亿元，同比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增长1.1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%；农林牧渔专业及辅助性活动产值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0.80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亿元，同比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下降2.1</w:t>
      </w:r>
      <w:r>
        <w:rPr>
          <w:rFonts w:hint="eastAsia" w:eastAsia="方正仿宋简体"/>
          <w:color w:val="000000"/>
          <w:sz w:val="32"/>
          <w:szCs w:val="32"/>
          <w:highlight w:val="none"/>
        </w:rPr>
        <w:t>%。</w:t>
      </w:r>
    </w:p>
    <w:p w14:paraId="50337143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 w14:paraId="7985C58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 w14:paraId="5327595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黑体简体" w:hAnsi="Times New Roman" w:eastAsia="方正黑体简体" w:cs="Times New Roman"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color w:val="000000"/>
          <w:sz w:val="32"/>
          <w:szCs w:val="32"/>
        </w:rPr>
        <w:t>三、工业和建筑业</w:t>
      </w:r>
    </w:p>
    <w:p w14:paraId="2CF6323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简体" w:cs="Times New Roman"/>
          <w:color w:val="FF0000"/>
          <w:sz w:val="32"/>
          <w:szCs w:val="32"/>
        </w:rPr>
      </w:pPr>
    </w:p>
    <w:p w14:paraId="11BE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2024年，规模以上工业企业325户，完成规模以上工业产值469.61亿元，下降1.3%。</w:t>
      </w:r>
    </w:p>
    <w:p w14:paraId="155A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全年规模以上工业企业利润总额14.53亿元，规模以上工业企业每百元营业收入中的成本为87.66元，营业收入利润率为3.17%。年末规模以上工业企业资产负债率为39.6%。</w:t>
      </w:r>
    </w:p>
    <w:p w14:paraId="6410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全年全社会建筑业增加值50.42亿元，比上年下降13.4%。全年具有资质等级的总承包和专业承包建筑企业49个，完成建筑业总产值 157.59亿元，比上年下降25.5%。</w:t>
      </w:r>
    </w:p>
    <w:p w14:paraId="77DE40E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jc w:val="center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4373524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1"/>
        <w:jc w:val="center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59432AB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eastAsia="zh-CN"/>
        </w:rPr>
      </w:pPr>
      <w:r>
        <w:rPr>
          <w:rFonts w:ascii="方正黑体简体" w:hAnsi="Times New Roman" w:eastAsia="方正黑体简体" w:cs="Times New Roman"/>
          <w:color w:val="000000"/>
          <w:sz w:val="32"/>
          <w:szCs w:val="32"/>
        </w:rPr>
        <w:t>四、</w:t>
      </w:r>
      <w:r>
        <w:rPr>
          <w:rFonts w:hint="eastAsia" w:ascii="方正黑体简体" w:hAnsi="Times New Roman" w:eastAsia="方正黑体简体" w:cs="Times New Roman"/>
          <w:color w:val="000000"/>
          <w:sz w:val="32"/>
          <w:szCs w:val="32"/>
          <w:lang w:val="en-US" w:eastAsia="zh-CN"/>
        </w:rPr>
        <w:t>服务业</w:t>
      </w:r>
    </w:p>
    <w:p w14:paraId="0A82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</w:pPr>
    </w:p>
    <w:p w14:paraId="11FB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全年批发和零售业增加值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87.32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下降1.2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%；交通运输、仓储和邮政业增加值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20.42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9.5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%；住宿和餐饮业增加值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18.41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亿元，增长8.7%；金融业增加值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40.89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10.3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%；房地产业增加值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53.88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增长2.5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%；信息传输、软件和信息技术服务业增加值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12.98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  <w:t>7.2</w:t>
      </w: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%。</w:t>
      </w:r>
    </w:p>
    <w:p w14:paraId="6D9E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方正仿宋简体"/>
          <w:color w:val="000000"/>
          <w:sz w:val="32"/>
          <w:szCs w:val="32"/>
          <w:highlight w:val="none"/>
          <w:lang w:val="en-US" w:eastAsia="zh-CN"/>
        </w:rPr>
        <w:t>全年规模以上服务业企业营业收入109.9亿元，比上年增长17.9%。分行业看，租赁和商务服务业增长127.7%，水利、环境和公共设施管理业增长17.8%，物业管理、房地产中介服务业营业收入增长3.0%。</w:t>
      </w:r>
    </w:p>
    <w:p w14:paraId="4C88D8C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5BDBC4C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3C5B34D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ascii="方正黑体简体" w:hAnsi="Times New Roman" w:eastAsia="方正黑体简体" w:cs="Times New Roman"/>
          <w:color w:val="000000"/>
          <w:sz w:val="32"/>
          <w:szCs w:val="32"/>
        </w:rPr>
        <w:t>、固定资产投资</w:t>
      </w:r>
    </w:p>
    <w:p w14:paraId="0D4E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简体"/>
          <w:color w:val="000000"/>
          <w:sz w:val="32"/>
          <w:szCs w:val="32"/>
          <w:highlight w:val="none"/>
          <w:lang w:val="en-US" w:eastAsia="zh-CN"/>
        </w:rPr>
      </w:pPr>
    </w:p>
    <w:p w14:paraId="57E23170">
      <w:pPr>
        <w:pStyle w:val="20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全年完成全社会固定资产投资额下降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全年固定资产投资建设项目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612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4F401AB2">
      <w:pPr>
        <w:pStyle w:val="20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在固定资产投资中，第一产业投资比上年下降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39.9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%，第二产业投资增长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21.6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%，第三产业投资下降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17.9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%。工业投资增长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22.0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%，占固定资产投资比重为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39.0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房地产开发投资下降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29.9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，占固定资产投资比重为12.3%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0E6D25E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</w:pPr>
      <w:r>
        <w:drawing>
          <wp:inline distT="0" distB="0" distL="114300" distR="114300">
            <wp:extent cx="4901565" cy="2726055"/>
            <wp:effectExtent l="0" t="0" r="5715" b="19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4EBF18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</w:p>
    <w:p w14:paraId="042669E9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</w:p>
    <w:p w14:paraId="1D243895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、国内贸易</w:t>
      </w:r>
    </w:p>
    <w:p w14:paraId="4867EC1C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</w:p>
    <w:p w14:paraId="4BBE020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eastAsia="仿宋_GB2312"/>
          <w:sz w:val="32"/>
          <w:szCs w:val="32"/>
        </w:rPr>
      </w:pPr>
      <w:r>
        <w:drawing>
          <wp:inline distT="0" distB="0" distL="114300" distR="114300">
            <wp:extent cx="5045710" cy="2938145"/>
            <wp:effectExtent l="4445" t="4445" r="9525" b="13970"/>
            <wp:docPr id="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DB888E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社会消费品零售总额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544.79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同比增速持平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。全年限上汽车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30.79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亿元，下降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限上商超10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全年零售额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%。限上汽车零售、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和餐饮零售额占全区社会消费品零售总额的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 w14:paraId="67BB550A">
      <w:pPr>
        <w:pStyle w:val="26"/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 w14:paraId="1AE49B2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</w:pPr>
    </w:p>
    <w:p w14:paraId="57F9319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方正黑体简体" w:hAnsi="Times New Roman" w:eastAsia="方正黑体简体" w:cs="Times New Roman"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ascii="方正黑体简体" w:hAnsi="Times New Roman" w:eastAsia="方正黑体简体" w:cs="Times New Roman"/>
          <w:color w:val="000000"/>
          <w:sz w:val="32"/>
          <w:szCs w:val="32"/>
        </w:rPr>
        <w:t>、财  政</w:t>
      </w:r>
    </w:p>
    <w:p w14:paraId="5FDA73E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107DC185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800" w:firstLineChars="25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全年实现一般公共预算收入累计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10.83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亿元，累计增长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%。其中，税收收入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6.11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亿元，累计下降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13.8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%；非税收入4.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亿元，累计增长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42.1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%。全年一般公共预算支出累计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36.82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亿元，累计增长1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5.7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%。</w:t>
      </w:r>
    </w:p>
    <w:p w14:paraId="6099AE1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800" w:firstLineChars="25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</w:pPr>
    </w:p>
    <w:p w14:paraId="0A57FAA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</w:pPr>
    </w:p>
    <w:p w14:paraId="08E7CD1B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Fonts w:ascii="方正黑体简体" w:hAnsi="Times New Roman" w:eastAsia="方正黑体简体" w:cs="Times New Roman"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color w:val="000000"/>
          <w:sz w:val="32"/>
          <w:szCs w:val="32"/>
          <w:lang w:val="en-US" w:eastAsia="zh-CN"/>
        </w:rPr>
        <w:t>八</w:t>
      </w:r>
      <w:r>
        <w:rPr>
          <w:rFonts w:ascii="方正黑体简体" w:hAnsi="Times New Roman" w:eastAsia="方正黑体简体" w:cs="Times New Roman"/>
          <w:color w:val="000000"/>
          <w:sz w:val="32"/>
          <w:szCs w:val="32"/>
        </w:rPr>
        <w:t>、</w:t>
      </w:r>
      <w:r>
        <w:rPr>
          <w:rFonts w:hint="eastAsia" w:ascii="方正黑体简体" w:hAnsi="Times New Roman" w:eastAsia="方正黑体简体" w:cs="Times New Roman"/>
          <w:color w:val="000000"/>
          <w:sz w:val="32"/>
          <w:szCs w:val="32"/>
        </w:rPr>
        <w:t>人口、人民生活</w:t>
      </w:r>
    </w:p>
    <w:p w14:paraId="15E40F5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/>
        <w:jc w:val="center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00D1C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方正仿宋简体"/>
          <w:color w:val="000000"/>
          <w:sz w:val="32"/>
          <w:szCs w:val="32"/>
          <w:highlight w:val="red"/>
          <w:lang w:val="en-US" w:eastAsia="zh-CN"/>
        </w:rPr>
      </w:pPr>
      <w:r>
        <w:rPr>
          <w:rFonts w:hint="eastAsia" w:eastAsia="方正仿宋简体"/>
          <w:color w:val="000000"/>
          <w:sz w:val="32"/>
          <w:szCs w:val="32"/>
        </w:rPr>
        <w:t>截至2024年12月31日，户籍总户数211276户，总人口700230人，其中乡村人口18841人。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常住人口770095人，城镇化率98.06%。</w:t>
      </w:r>
    </w:p>
    <w:p w14:paraId="6315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年，</w:t>
      </w:r>
      <w:r>
        <w:rPr>
          <w:rFonts w:hint="eastAsia" w:eastAsia="方正仿宋简体" w:cs="Times New Roman"/>
          <w:sz w:val="32"/>
          <w:szCs w:val="32"/>
          <w:lang w:val="zh-CN"/>
        </w:rPr>
        <w:t>金平区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全体居民人均可支配收入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47657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元，增长3.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%，其中，城镇居民人均可支配收入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47657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元，增长3.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%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。</w:t>
      </w:r>
    </w:p>
    <w:p w14:paraId="2486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084CDE8">
      <w:pPr>
        <w:pStyle w:val="20"/>
        <w:ind w:firstLine="640"/>
        <w:jc w:val="left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054FD74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</w:p>
    <w:p w14:paraId="305B1ED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</w:p>
    <w:p w14:paraId="565B389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</w:p>
    <w:p w14:paraId="38DA70E6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</w:p>
    <w:p w14:paraId="65F02833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  <w:r>
        <w:rPr>
          <w:rFonts w:ascii="Times New Roman" w:hAnsi="Times New Roman" w:eastAsia="方正仿宋简体" w:cs="Times New Roman"/>
          <w:color w:val="000000"/>
          <w:sz w:val="24"/>
        </w:rPr>
        <w:t>注：</w:t>
      </w:r>
    </w:p>
    <w:p w14:paraId="7B09051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FF0000"/>
          <w:sz w:val="24"/>
          <w:highlight w:val="yellow"/>
          <w:lang w:eastAsia="zh-CN"/>
        </w:rPr>
      </w:pPr>
      <w:r>
        <w:rPr>
          <w:rFonts w:ascii="Times New Roman" w:hAnsi="Times New Roman" w:eastAsia="方正仿宋简体" w:cs="Times New Roman"/>
          <w:color w:val="000000"/>
          <w:sz w:val="24"/>
        </w:rPr>
        <w:t>1.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24"/>
          <w:highlight w:val="none"/>
        </w:rPr>
        <w:t>根据我国国民经济核算制度和第五次全国经济普查结果，2023年我区地区生产总值修订为</w:t>
      </w:r>
      <w:r>
        <w:rPr>
          <w:rFonts w:hint="eastAsia" w:ascii="Times New Roman" w:hAnsi="Times New Roman" w:eastAsia="方正仿宋简体" w:cs="Times New Roman"/>
          <w:color w:val="000000"/>
          <w:sz w:val="24"/>
          <w:highlight w:val="none"/>
          <w:lang w:val="en-US" w:eastAsia="zh-CN"/>
        </w:rPr>
        <w:t>646.42</w:t>
      </w:r>
      <w:r>
        <w:rPr>
          <w:rFonts w:hint="eastAsia" w:ascii="Times New Roman" w:hAnsi="Times New Roman" w:eastAsia="方正仿宋简体" w:cs="Times New Roman"/>
          <w:color w:val="000000"/>
          <w:sz w:val="24"/>
          <w:highlight w:val="none"/>
        </w:rPr>
        <w:t>亿元。</w:t>
      </w:r>
    </w:p>
    <w:p w14:paraId="334A4ED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  <w:r>
        <w:rPr>
          <w:rFonts w:ascii="Times New Roman" w:hAnsi="Times New Roman" w:eastAsia="方正仿宋简体" w:cs="Times New Roman"/>
          <w:color w:val="000000"/>
          <w:sz w:val="24"/>
        </w:rPr>
        <w:t>2.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color w:val="000000"/>
          <w:sz w:val="24"/>
        </w:rPr>
        <w:t>公报中202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>4</w:t>
      </w:r>
      <w:r>
        <w:rPr>
          <w:rFonts w:ascii="Times New Roman" w:hAnsi="Times New Roman" w:eastAsia="方正仿宋简体" w:cs="Times New Roman"/>
          <w:color w:val="000000"/>
          <w:sz w:val="24"/>
        </w:rPr>
        <w:t>年各项数据均为初步统计数，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部分数据因四舍五入的原因，存在总计与分项合计不等的情况。</w:t>
      </w:r>
    </w:p>
    <w:p w14:paraId="17F48DC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  <w:r>
        <w:rPr>
          <w:rFonts w:ascii="Times New Roman" w:hAnsi="Times New Roman" w:eastAsia="方正仿宋简体" w:cs="Times New Roman"/>
          <w:color w:val="000000"/>
          <w:sz w:val="24"/>
        </w:rPr>
        <w:t>3.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color w:val="000000"/>
          <w:sz w:val="24"/>
        </w:rPr>
        <w:t>公报中地区生产总值及各产业增加值、总产值均按现行价计算，增长速度按可比价格计算。</w:t>
      </w:r>
    </w:p>
    <w:p w14:paraId="1C04B874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24"/>
        </w:rPr>
      </w:pP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.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规模以上工业统计口径为年主营业务收入2000万元及以上的工业单位。</w:t>
      </w:r>
    </w:p>
    <w:p w14:paraId="42EBADE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24"/>
        </w:rPr>
      </w:pP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.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固定资产投资项目统计口径为各种登记注册类型的法人单位、个体经营户、其他单位进行的计划总投资500万元及以上项目，不包括农户投资。</w:t>
      </w:r>
    </w:p>
    <w:p w14:paraId="1AECF85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24"/>
        </w:rPr>
      </w:pP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.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限额以上批发和零售业统计口径为：批发业企业年主营业务收入2000万元及以上；零售业企业年主营业务收入500万元及以上。</w:t>
      </w:r>
    </w:p>
    <w:p w14:paraId="200CDD7D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000000"/>
          <w:sz w:val="24"/>
        </w:rPr>
      </w:pP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 xml:space="preserve">7. 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规模以上服务业范围包括：年营业收入2000万元及以上的交通运输、仓储和邮政业，信息传输、软件和信息技术服务业，水利、环境和公共设施管理业，卫生行业法人单位；年营业收入1000万元及以上的房地产业（不含房地产开发经营），租赁和商务服务业，科学研究和技术服务业，教育行业法人单位；以及年营业收入500万元及以上的居民服务、修理和其他服务业，文化、体育和娱乐业，社会工作行业法人单位。</w:t>
      </w:r>
    </w:p>
    <w:p w14:paraId="283524F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</w:p>
    <w:p w14:paraId="30E70F8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  <w:r>
        <w:rPr>
          <w:rFonts w:ascii="Times New Roman" w:hAnsi="Times New Roman" w:eastAsia="方正仿宋简体" w:cs="Times New Roman"/>
          <w:color w:val="000000"/>
          <w:sz w:val="24"/>
        </w:rPr>
        <w:t>资料来源：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公报中财政数据来自区财政局；户籍数据来自汕头市公安局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val="en-US" w:eastAsia="zh-CN"/>
        </w:rPr>
        <w:t>金平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分局</w:t>
      </w:r>
      <w:r>
        <w:rPr>
          <w:rFonts w:hint="eastAsia" w:ascii="Times New Roman" w:hAnsi="Times New Roman" w:eastAsia="方正仿宋简体" w:cs="Times New Roman"/>
          <w:color w:val="000000"/>
          <w:sz w:val="24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color w:val="000000"/>
          <w:sz w:val="24"/>
        </w:rPr>
        <w:t>其他数据来自区统计局。</w:t>
      </w:r>
    </w:p>
    <w:p w14:paraId="553875B6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Times New Roman" w:hAnsi="Times New Roman" w:eastAsia="方正仿宋简体" w:cs="Times New Roman"/>
          <w:color w:val="00000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883D6-1167-4F9B-A4DE-12EBBC8395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93549E-960B-484F-A3A4-BEC5A71BB51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6BA76B-B507-4020-AC75-FE66C36C4F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E0E2BF-D3D6-406E-BB31-C1AEAD1C14B5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6667">
    <w:pPr>
      <w:pStyle w:val="8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92AE">
    <w:pPr>
      <w:pStyle w:val="8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B74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5B86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5216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B14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WJkYTU3NmE2MTJhNGFiNGUzZWYyZTE4M2FlMTkifQ=="/>
    <w:docVar w:name="KSO_WPS_MARK_KEY" w:val="3c3de82b-ed8a-4ff4-85e0-6b2c69b422a9"/>
  </w:docVars>
  <w:rsids>
    <w:rsidRoot w:val="00172A27"/>
    <w:rsid w:val="000434E2"/>
    <w:rsid w:val="000A6DE3"/>
    <w:rsid w:val="000D5B09"/>
    <w:rsid w:val="001046A4"/>
    <w:rsid w:val="00172A27"/>
    <w:rsid w:val="001C7951"/>
    <w:rsid w:val="00277907"/>
    <w:rsid w:val="003E3571"/>
    <w:rsid w:val="00537EC9"/>
    <w:rsid w:val="0062149E"/>
    <w:rsid w:val="00652BA5"/>
    <w:rsid w:val="007B715F"/>
    <w:rsid w:val="00841570"/>
    <w:rsid w:val="008C507A"/>
    <w:rsid w:val="008D5449"/>
    <w:rsid w:val="008D6FD3"/>
    <w:rsid w:val="00931E2D"/>
    <w:rsid w:val="00994D47"/>
    <w:rsid w:val="00AF20A2"/>
    <w:rsid w:val="00B3223C"/>
    <w:rsid w:val="00B675C9"/>
    <w:rsid w:val="00BD49D4"/>
    <w:rsid w:val="00C204E7"/>
    <w:rsid w:val="00D521A6"/>
    <w:rsid w:val="00D944C7"/>
    <w:rsid w:val="00DA36C7"/>
    <w:rsid w:val="00EA4405"/>
    <w:rsid w:val="00F47597"/>
    <w:rsid w:val="01774331"/>
    <w:rsid w:val="02635FD6"/>
    <w:rsid w:val="04161143"/>
    <w:rsid w:val="053A394F"/>
    <w:rsid w:val="05B12AB7"/>
    <w:rsid w:val="06172009"/>
    <w:rsid w:val="069B28B5"/>
    <w:rsid w:val="06EE2458"/>
    <w:rsid w:val="079F6755"/>
    <w:rsid w:val="07D05741"/>
    <w:rsid w:val="086C0DF8"/>
    <w:rsid w:val="08E2116B"/>
    <w:rsid w:val="0A1D15D8"/>
    <w:rsid w:val="0A690774"/>
    <w:rsid w:val="0A9A5D0D"/>
    <w:rsid w:val="0ADD51A8"/>
    <w:rsid w:val="0ADE6C7B"/>
    <w:rsid w:val="0AE234BF"/>
    <w:rsid w:val="0B665EB8"/>
    <w:rsid w:val="0BAE0D4C"/>
    <w:rsid w:val="0C016A05"/>
    <w:rsid w:val="0C19531E"/>
    <w:rsid w:val="0C1D5BE4"/>
    <w:rsid w:val="0D801AD5"/>
    <w:rsid w:val="112E774A"/>
    <w:rsid w:val="11A716AD"/>
    <w:rsid w:val="142146A7"/>
    <w:rsid w:val="14B7274B"/>
    <w:rsid w:val="16524D10"/>
    <w:rsid w:val="1B023FE0"/>
    <w:rsid w:val="1BC577D4"/>
    <w:rsid w:val="1C5728CD"/>
    <w:rsid w:val="1C961453"/>
    <w:rsid w:val="1CD66972"/>
    <w:rsid w:val="1CDE6641"/>
    <w:rsid w:val="1DA8492F"/>
    <w:rsid w:val="1DB218DC"/>
    <w:rsid w:val="1DCA746B"/>
    <w:rsid w:val="23BF50B1"/>
    <w:rsid w:val="2622231D"/>
    <w:rsid w:val="26C66366"/>
    <w:rsid w:val="27024F66"/>
    <w:rsid w:val="275C2E52"/>
    <w:rsid w:val="27DF06C0"/>
    <w:rsid w:val="2A420B6A"/>
    <w:rsid w:val="2BA84919"/>
    <w:rsid w:val="2BF02509"/>
    <w:rsid w:val="2D8F2A70"/>
    <w:rsid w:val="2DCB3029"/>
    <w:rsid w:val="2DE9377C"/>
    <w:rsid w:val="31432B68"/>
    <w:rsid w:val="328529FD"/>
    <w:rsid w:val="34132346"/>
    <w:rsid w:val="349F39EF"/>
    <w:rsid w:val="35607543"/>
    <w:rsid w:val="3717241C"/>
    <w:rsid w:val="37980455"/>
    <w:rsid w:val="3843230B"/>
    <w:rsid w:val="38F665CA"/>
    <w:rsid w:val="390D7261"/>
    <w:rsid w:val="39A110A3"/>
    <w:rsid w:val="3B5A439C"/>
    <w:rsid w:val="3BC96F50"/>
    <w:rsid w:val="3C784BB9"/>
    <w:rsid w:val="3CBC7580"/>
    <w:rsid w:val="3FB96AA5"/>
    <w:rsid w:val="40722CC7"/>
    <w:rsid w:val="40984657"/>
    <w:rsid w:val="40C369F2"/>
    <w:rsid w:val="411A75A9"/>
    <w:rsid w:val="415648A7"/>
    <w:rsid w:val="44301E08"/>
    <w:rsid w:val="44B16C7F"/>
    <w:rsid w:val="44E0231D"/>
    <w:rsid w:val="472F42DE"/>
    <w:rsid w:val="47380AD5"/>
    <w:rsid w:val="478D2B07"/>
    <w:rsid w:val="480D23F6"/>
    <w:rsid w:val="48741329"/>
    <w:rsid w:val="48E67278"/>
    <w:rsid w:val="497E3B44"/>
    <w:rsid w:val="49FB248F"/>
    <w:rsid w:val="4AB368C6"/>
    <w:rsid w:val="4BA769F7"/>
    <w:rsid w:val="4BDF1120"/>
    <w:rsid w:val="4E916CE0"/>
    <w:rsid w:val="4EBD5DEA"/>
    <w:rsid w:val="53A930A5"/>
    <w:rsid w:val="54ED0C26"/>
    <w:rsid w:val="563F7B07"/>
    <w:rsid w:val="56F53B27"/>
    <w:rsid w:val="57CB57BA"/>
    <w:rsid w:val="583A4DE1"/>
    <w:rsid w:val="59784B0A"/>
    <w:rsid w:val="59FD53C2"/>
    <w:rsid w:val="5A9A02EE"/>
    <w:rsid w:val="5AE90737"/>
    <w:rsid w:val="5B995664"/>
    <w:rsid w:val="5BB57237"/>
    <w:rsid w:val="5C805C3A"/>
    <w:rsid w:val="5C921539"/>
    <w:rsid w:val="5DF837D5"/>
    <w:rsid w:val="6059772E"/>
    <w:rsid w:val="621E04DB"/>
    <w:rsid w:val="62412C56"/>
    <w:rsid w:val="645C5CF2"/>
    <w:rsid w:val="64D140C0"/>
    <w:rsid w:val="6554277E"/>
    <w:rsid w:val="65BE2B7F"/>
    <w:rsid w:val="65E741F0"/>
    <w:rsid w:val="66366FFF"/>
    <w:rsid w:val="67217E22"/>
    <w:rsid w:val="67CB129B"/>
    <w:rsid w:val="67DE40F4"/>
    <w:rsid w:val="67F307F2"/>
    <w:rsid w:val="6A3D7B02"/>
    <w:rsid w:val="6C1921B9"/>
    <w:rsid w:val="6CAD6B2F"/>
    <w:rsid w:val="6D262ED3"/>
    <w:rsid w:val="6D4326F8"/>
    <w:rsid w:val="6DAA36C5"/>
    <w:rsid w:val="6DC36314"/>
    <w:rsid w:val="6E117C70"/>
    <w:rsid w:val="6E2E109E"/>
    <w:rsid w:val="700D5DEC"/>
    <w:rsid w:val="70573A48"/>
    <w:rsid w:val="71356173"/>
    <w:rsid w:val="71473895"/>
    <w:rsid w:val="74332A4D"/>
    <w:rsid w:val="76686D97"/>
    <w:rsid w:val="78535672"/>
    <w:rsid w:val="78A265FE"/>
    <w:rsid w:val="78BB2C66"/>
    <w:rsid w:val="7A0216FE"/>
    <w:rsid w:val="7A417115"/>
    <w:rsid w:val="7B741C44"/>
    <w:rsid w:val="7BF669F1"/>
    <w:rsid w:val="7C1B7990"/>
    <w:rsid w:val="7C921F30"/>
    <w:rsid w:val="7E3111DC"/>
    <w:rsid w:val="7F1A54CE"/>
    <w:rsid w:val="7FC4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88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widowControl w:val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1"/>
    <w:next w:val="1"/>
    <w:unhideWhenUsed/>
    <w:qFormat/>
    <w:uiPriority w:val="99"/>
    <w:pPr>
      <w:spacing w:line="560" w:lineRule="exact"/>
      <w:ind w:firstLine="420" w:firstLineChars="200"/>
    </w:pPr>
    <w:rPr>
      <w:sz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">
    <w:name w:val="大标题"/>
    <w:basedOn w:val="1"/>
    <w:qFormat/>
    <w:uiPriority w:val="0"/>
    <w:pPr>
      <w:tabs>
        <w:tab w:val="left" w:pos="9000"/>
      </w:tabs>
      <w:spacing w:line="700" w:lineRule="exact"/>
      <w:jc w:val="center"/>
      <w:outlineLvl w:val="0"/>
    </w:pPr>
    <w:rPr>
      <w:rFonts w:ascii="方正小标宋简体" w:hAnsi="华文中宋" w:eastAsia="方正小标宋简体"/>
      <w:sz w:val="44"/>
      <w:szCs w:val="44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创艺简仿宋"/>
      <w:color w:val="000000"/>
      <w:sz w:val="28"/>
      <w:szCs w:val="20"/>
    </w:rPr>
  </w:style>
  <w:style w:type="paragraph" w:customStyle="1" w:styleId="19">
    <w:name w:val="纯文本1"/>
    <w:basedOn w:val="1"/>
    <w:link w:val="22"/>
    <w:qFormat/>
    <w:uiPriority w:val="0"/>
    <w:rPr>
      <w:rFonts w:ascii="宋体" w:hAnsi="Courier New" w:cs="Courier New"/>
      <w:szCs w:val="21"/>
    </w:rPr>
  </w:style>
  <w:style w:type="paragraph" w:customStyle="1" w:styleId="20">
    <w:name w:val="纯文本1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1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2">
    <w:name w:val="纯文本 Char"/>
    <w:link w:val="1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4">
    <w:name w:val="页码1"/>
    <w:basedOn w:val="13"/>
    <w:qFormat/>
    <w:uiPriority w:val="0"/>
  </w:style>
  <w:style w:type="paragraph" w:customStyle="1" w:styleId="25">
    <w:name w:val="纯文本2"/>
    <w:basedOn w:val="1"/>
    <w:qFormat/>
    <w:uiPriority w:val="0"/>
    <w:rPr>
      <w:rFonts w:ascii="宋体" w:hAnsi="Courier New" w:cs="Courier New" w:eastAsiaTheme="minorEastAsia"/>
      <w:szCs w:val="21"/>
    </w:rPr>
  </w:style>
  <w:style w:type="paragraph" w:customStyle="1" w:styleId="26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21150;&#20844;&#25991;&#20214;&#22841;\&#9733;&#38480;&#39069;&#20197;&#19978;&#36164;&#26009;&#22841;\&#32508;&#21512;&#21508;&#24180;&#25968;&#25454;\&#31038;&#20250;&#28040;&#36153;&#21697;&#38646;&#21806;&#24635;&#39069;&#21453;&#39304;&#2596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2020</a:t>
            </a:r>
            <a:r>
              <a:rPr altLang="en-US"/>
              <a:t>年</a:t>
            </a:r>
            <a:r>
              <a:rPr lang="en-US" altLang="zh-CN"/>
              <a:t>-2024</a:t>
            </a:r>
            <a:r>
              <a:rPr altLang="en-US"/>
              <a:t>年固定资产投资增速（</a:t>
            </a:r>
            <a:r>
              <a:rPr lang="en-US" altLang="zh-CN"/>
              <a:t>%</a:t>
            </a:r>
            <a:r>
              <a:rPr altLang="en-US"/>
              <a:t>）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[工作簿1]Sheet1!$E$5:$I$5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[工作簿1]Sheet1!$E$6:$I$6</c:f>
              <c:numCache>
                <c:formatCode>0.0_ </c:formatCode>
                <c:ptCount val="5"/>
                <c:pt idx="0">
                  <c:v>7.4</c:v>
                </c:pt>
                <c:pt idx="1">
                  <c:v>-31.2</c:v>
                </c:pt>
                <c:pt idx="2">
                  <c:v>-11.9</c:v>
                </c:pt>
                <c:pt idx="3">
                  <c:v>9.23108172086853</c:v>
                </c:pt>
                <c:pt idx="4">
                  <c:v>-6.2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49327829"/>
        <c:axId val="821014639"/>
      </c:lineChart>
      <c:catAx>
        <c:axId val="849327829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1014639"/>
        <c:crosses val="autoZero"/>
        <c:auto val="1"/>
        <c:lblAlgn val="ctr"/>
        <c:lblOffset val="100"/>
        <c:noMultiLvlLbl val="0"/>
      </c:catAx>
      <c:valAx>
        <c:axId val="821014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932782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201cc23-42e1-4304-9dda-cbcffdf15e5f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图</a:t>
            </a:r>
            <a:r>
              <a:rPr lang="en-US" altLang="zh-CN" sz="16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5   2020—2024</a:t>
            </a:r>
            <a:r>
              <a:rPr altLang="en-US" sz="1600" b="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年社会消费品零售总额及增长速度</a:t>
            </a:r>
            <a:endParaRPr lang="en-US" altLang="zh-CN" sz="1600" b="0">
              <a:latin typeface="黑体" panose="02010609060101010101" charset="-122"/>
              <a:ea typeface="黑体" panose="02010609060101010101" charset="-122"/>
              <a:cs typeface="黑体" panose="02010609060101010101" charset="-122"/>
            </a:endParaRPr>
          </a:p>
        </c:rich>
      </c:tx>
      <c:layout>
        <c:manualLayout>
          <c:xMode val="edge"/>
          <c:yMode val="edge"/>
          <c:x val="0.13001444736082"/>
          <c:y val="0.088593371875986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14180978024954"/>
          <c:y val="0.295401629802095"/>
          <c:w val="0.625211995863495"/>
          <c:h val="0.499912689173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[社会消费品零售总额反馈数.xlsx]Sheet2!$F$2</c:f>
              <c:strCache>
                <c:ptCount val="1"/>
                <c:pt idx="0">
                  <c:v>社会消费品零售总额（亿元）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0330951108736307"/>
                  <c:y val="0.0061486727795219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400748063051029"/>
                  <c:y val="-0.004484975332635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10913853317811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[社会消费品零售总额反馈数.xlsx]Sheet2!$G$1:$K$1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[社会消费品零售总额反馈数.xlsx]Sheet2!$G$2:$K$2</c:f>
              <c:numCache>
                <c:formatCode>0.00_ </c:formatCode>
                <c:ptCount val="5"/>
                <c:pt idx="0">
                  <c:v>501.0078</c:v>
                </c:pt>
                <c:pt idx="1">
                  <c:v>533.1385</c:v>
                </c:pt>
                <c:pt idx="2">
                  <c:v>523.2501</c:v>
                </c:pt>
                <c:pt idx="3">
                  <c:v>544.7631</c:v>
                </c:pt>
                <c:pt idx="4">
                  <c:v>544.7857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3957246"/>
        <c:axId val="851005803"/>
      </c:barChart>
      <c:lineChart>
        <c:grouping val="standard"/>
        <c:varyColors val="0"/>
        <c:ser>
          <c:idx val="1"/>
          <c:order val="1"/>
          <c:tx>
            <c:strRef>
              <c:f>[社会消费品零售总额反馈数.xlsx]Sheet2!$F$3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120224418915309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713665508950038"/>
                  <c:y val="-0.01490164199930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935078813785733"/>
                  <c:y val="0.002242487666317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558191459670667"/>
                  <c:y val="-0.03055878928987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33582687683676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[社会消费品零售总额反馈数.xlsx]Sheet2!$G$3:$K$3</c:f>
              <c:numCache>
                <c:formatCode>General</c:formatCode>
                <c:ptCount val="5"/>
                <c:pt idx="0">
                  <c:v>-9.8</c:v>
                </c:pt>
                <c:pt idx="1">
                  <c:v>6.4</c:v>
                </c:pt>
                <c:pt idx="2">
                  <c:v>-1.9</c:v>
                </c:pt>
                <c:pt idx="3">
                  <c:v>4.1</c:v>
                </c:pt>
                <c:pt idx="4" c:formatCode="0.0_ 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31606655"/>
        <c:axId val="614924245"/>
      </c:lineChart>
      <c:catAx>
        <c:axId val="3439572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1005803"/>
        <c:crosses val="autoZero"/>
        <c:auto val="1"/>
        <c:lblAlgn val="ctr"/>
        <c:lblOffset val="100"/>
        <c:noMultiLvlLbl val="0"/>
      </c:catAx>
      <c:valAx>
        <c:axId val="851005803"/>
        <c:scaling>
          <c:orientation val="minMax"/>
          <c:max val="58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#,##0.00_ " sourceLinked="0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3957246"/>
        <c:crosses val="autoZero"/>
        <c:crossBetween val="between"/>
      </c:valAx>
      <c:catAx>
        <c:axId val="831606655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4924245"/>
        <c:crosses val="autoZero"/>
        <c:auto val="1"/>
        <c:lblAlgn val="ctr"/>
        <c:lblOffset val="100"/>
        <c:noMultiLvlLbl val="0"/>
      </c:catAx>
      <c:valAx>
        <c:axId val="614924245"/>
        <c:scaling>
          <c:orientation val="minMax"/>
        </c:scaling>
        <c:delete val="0"/>
        <c:axPos val="r"/>
        <c:numFmt formatCode="0.0_ " sourceLinked="0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160665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6361207587497"/>
          <c:y val="0.90904496494253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289b6f-3f68-4538-a71f-79e102c9097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0.163327099474575</cdr:x>
      <cdr:y>0.245768526989936</cdr:y>
    </cdr:from>
    <cdr:to>
      <cdr:x>0.291566479650904</cdr:x>
      <cdr:y>0.410452881976212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164590" y="1364615"/>
          <a:ext cx="91440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anchor="t" anchorCtr="0">
          <a:spAutoFit/>
        </a:bodyPr>
        <a:p>
          <a:endParaRPr lang="zh-CN" altLang="en-US"/>
        </a:p>
      </cdr:txBody>
    </cdr:sp>
  </cdr:relSizeAnchor>
  <cdr:relSizeAnchor xmlns:cdr="http://schemas.openxmlformats.org/drawingml/2006/chartDrawing">
    <cdr:from>
      <cdr:x>0.165998753228248</cdr:x>
      <cdr:y>0.199451052150046</cdr:y>
    </cdr:from>
    <cdr:to>
      <cdr:x>0.224775135809066</cdr:x>
      <cdr:y>0.238906678865508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183640" y="1107440"/>
          <a:ext cx="419100" cy="219075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endParaRPr lang="zh-CN" altLang="en-US"/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1670</Words>
  <Characters>2118</Characters>
  <Lines>44</Lines>
  <Paragraphs>12</Paragraphs>
  <TotalTime>50</TotalTime>
  <ScaleCrop>false</ScaleCrop>
  <LinksUpToDate>false</LinksUpToDate>
  <CharactersWithSpaces>2167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2018-04-18T04:03:00Z</dcterms:created>
  <dc:creator>微软用户</dc:creator>
  <cp:lastModifiedBy>Arctic</cp:lastModifiedBy>
  <cp:lastPrinted>2025-05-14T08:16:00Z</cp:lastPrinted>
  <dcterms:modified xsi:type="dcterms:W3CDTF">2025-09-25T14:55:47Z</dcterms:modified>
  <dc:title>user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9EBE19C1489241719B0E08066C19A9D1_13</vt:lpwstr>
  </property>
  <property fmtid="{D5CDD505-2E9C-101B-9397-08002B2CF9AE}" pid="4" name="KSOTemplateDocerSaveRecord">
    <vt:lpwstr>eyJoZGlkIjoiMTI0ZWY5NTM1ZDhjOTI3OThhODc2MTA4MTI0Zjg5NzgiLCJ1c2VySWQiOiI0MDgxNDAzMDcifQ==</vt:lpwstr>
  </property>
</Properties>
</file>