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7" w:beforeLines="50" w:after="0"/>
        <w:ind w:firstLine="0" w:firstLineChars="0"/>
        <w:jc w:val="center"/>
        <w:rPr>
          <w:rFonts w:hint="default" w:ascii="Times New Roman" w:hAnsi="Times New Roman" w:eastAsia="黑体" w:cs="Times New Roman"/>
          <w:b/>
          <w:bCs/>
          <w:color w:val="auto"/>
          <w:sz w:val="40"/>
          <w:szCs w:val="36"/>
        </w:rPr>
      </w:pPr>
      <w:r>
        <w:rPr>
          <w:rFonts w:hint="default" w:ascii="Times New Roman" w:hAnsi="Times New Roman" w:eastAsia="黑体" w:cs="Times New Roman"/>
          <w:b/>
          <w:bCs/>
          <w:color w:val="auto"/>
          <w:sz w:val="40"/>
          <w:szCs w:val="36"/>
        </w:rPr>
        <w:t>汕头市金平区2022年度土地征收成片开发方案</w:t>
      </w:r>
    </w:p>
    <w:p>
      <w:pPr>
        <w:spacing w:before="157" w:beforeLines="50" w:after="0"/>
        <w:ind w:firstLine="0" w:firstLineChars="0"/>
        <w:jc w:val="center"/>
        <w:rPr>
          <w:rFonts w:ascii="Times New Roman" w:hAnsi="Times New Roman" w:eastAsia="黑体" w:cs="Times New Roman"/>
          <w:b/>
          <w:bCs/>
          <w:color w:val="auto"/>
          <w:sz w:val="40"/>
          <w:szCs w:val="36"/>
        </w:rPr>
      </w:pPr>
      <w:r>
        <w:rPr>
          <w:rFonts w:hint="default" w:ascii="Times New Roman" w:hAnsi="Times New Roman" w:eastAsia="黑体" w:cs="Times New Roman"/>
          <w:b/>
          <w:bCs/>
          <w:color w:val="auto"/>
          <w:sz w:val="40"/>
          <w:szCs w:val="36"/>
        </w:rPr>
        <w:t>（草案）</w:t>
      </w:r>
    </w:p>
    <w:p>
      <w:pPr>
        <w:ind w:firstLine="0" w:firstLineChars="0"/>
        <w:jc w:val="center"/>
        <w:rPr>
          <w:rFonts w:ascii="黑体" w:hAnsi="黑体" w:eastAsia="黑体"/>
          <w:b/>
          <w:bCs/>
          <w:color w:val="auto"/>
          <w:sz w:val="40"/>
          <w:szCs w:val="36"/>
        </w:rPr>
      </w:pPr>
      <w:bookmarkStart w:id="6" w:name="_GoBack"/>
      <w:bookmarkEnd w:id="6"/>
    </w:p>
    <w:p>
      <w:pPr>
        <w:pStyle w:val="6"/>
        <w:spacing w:line="740" w:lineRule="exact"/>
        <w:ind w:firstLine="643"/>
        <w:outlineLvl w:val="0"/>
        <w:rPr>
          <w:rFonts w:ascii="Times New Roman" w:hAnsi="Times New Roman" w:eastAsia="仿宋" w:cs="Times New Roman"/>
          <w:b/>
          <w:bCs/>
          <w:kern w:val="44"/>
          <w:sz w:val="32"/>
          <w:szCs w:val="44"/>
        </w:rPr>
      </w:pPr>
      <w:r>
        <w:rPr>
          <w:rFonts w:ascii="Times New Roman" w:hAnsi="Times New Roman" w:eastAsia="仿宋" w:cs="Times New Roman"/>
          <w:b/>
          <w:bCs/>
          <w:kern w:val="44"/>
          <w:sz w:val="32"/>
          <w:szCs w:val="44"/>
        </w:rPr>
        <w:t>一、概述</w:t>
      </w:r>
    </w:p>
    <w:p>
      <w:pPr>
        <w:pStyle w:val="6"/>
        <w:spacing w:line="700" w:lineRule="exact"/>
        <w:ind w:firstLine="643"/>
        <w:rPr>
          <w:rFonts w:ascii="Times New Roman" w:hAnsi="Times New Roman" w:eastAsia="仿宋" w:cs="Times New Roman"/>
          <w:b/>
          <w:bCs/>
          <w:kern w:val="44"/>
          <w:sz w:val="32"/>
          <w:szCs w:val="44"/>
        </w:rPr>
      </w:pPr>
      <w:r>
        <w:rPr>
          <w:rFonts w:ascii="Times New Roman" w:hAnsi="Times New Roman" w:eastAsia="仿宋" w:cs="Times New Roman"/>
          <w:b/>
          <w:bCs/>
          <w:kern w:val="44"/>
          <w:sz w:val="32"/>
          <w:szCs w:val="44"/>
        </w:rPr>
        <w:t>（一）编制背景</w:t>
      </w:r>
    </w:p>
    <w:p>
      <w:pPr>
        <w:pStyle w:val="6"/>
        <w:ind w:firstLine="640"/>
        <w:rPr>
          <w:rFonts w:ascii="Times New Roman" w:hAnsi="Times New Roman" w:eastAsia="仿宋" w:cs="Times New Roman"/>
          <w:sz w:val="32"/>
          <w:szCs w:val="32"/>
        </w:rPr>
      </w:pPr>
      <w:r>
        <w:rPr>
          <w:rFonts w:ascii="Times New Roman" w:hAnsi="Times New Roman" w:eastAsia="仿宋" w:cs="Times New Roman"/>
          <w:sz w:val="32"/>
          <w:szCs w:val="32"/>
        </w:rPr>
        <w:t>根据《中华人民共和国土地管理法》（2019年8月26日第十三届全国人民代表大会常务委员会第十二次会议修订）、《自然资源部关于印发&lt;土地征收成片开发标准（试行）&gt;的通知》（自然资规〔2020〕5号）</w:t>
      </w:r>
      <w:r>
        <w:rPr>
          <w:rFonts w:hint="eastAsia" w:ascii="Times New Roman" w:hAnsi="Times New Roman" w:eastAsia="仿宋" w:cs="Times New Roman"/>
          <w:sz w:val="32"/>
          <w:szCs w:val="32"/>
        </w:rPr>
        <w:t>和</w:t>
      </w:r>
      <w:r>
        <w:rPr>
          <w:rFonts w:ascii="Times New Roman" w:hAnsi="Times New Roman" w:eastAsia="仿宋" w:cs="Times New Roman"/>
          <w:sz w:val="32"/>
          <w:szCs w:val="32"/>
        </w:rPr>
        <w:t>《广东省自然资源厅关于规范土地征收成片开发工作的通知》（粤自然资发〔2021〕20号）要求，结合</w:t>
      </w:r>
      <w:r>
        <w:rPr>
          <w:rFonts w:hint="eastAsia" w:ascii="Times New Roman" w:hAnsi="Times New Roman" w:eastAsia="仿宋" w:cs="Times New Roman"/>
          <w:sz w:val="32"/>
          <w:szCs w:val="32"/>
        </w:rPr>
        <w:t>金平区</w:t>
      </w:r>
      <w:r>
        <w:rPr>
          <w:rFonts w:ascii="Times New Roman" w:hAnsi="Times New Roman" w:eastAsia="仿宋" w:cs="Times New Roman"/>
          <w:sz w:val="32"/>
          <w:szCs w:val="32"/>
        </w:rPr>
        <w:t>实际情况，编制《汕头市</w:t>
      </w:r>
      <w:r>
        <w:rPr>
          <w:rFonts w:hint="eastAsia" w:ascii="Times New Roman" w:hAnsi="Times New Roman" w:eastAsia="仿宋" w:cs="Times New Roman"/>
          <w:sz w:val="32"/>
          <w:szCs w:val="32"/>
        </w:rPr>
        <w:t>金平区</w:t>
      </w:r>
      <w:r>
        <w:rPr>
          <w:rFonts w:ascii="Times New Roman" w:hAnsi="Times New Roman" w:eastAsia="仿宋" w:cs="Times New Roman"/>
          <w:sz w:val="32"/>
          <w:szCs w:val="32"/>
        </w:rPr>
        <w:t>2022年度土地征收成片开发方案》。</w:t>
      </w:r>
    </w:p>
    <w:p>
      <w:pPr>
        <w:pStyle w:val="6"/>
        <w:spacing w:line="700" w:lineRule="exact"/>
        <w:ind w:firstLine="643"/>
        <w:rPr>
          <w:rFonts w:ascii="Times New Roman" w:hAnsi="Times New Roman" w:eastAsia="仿宋" w:cs="Times New Roman"/>
          <w:b/>
          <w:bCs/>
          <w:kern w:val="44"/>
          <w:sz w:val="32"/>
          <w:szCs w:val="44"/>
        </w:rPr>
      </w:pPr>
      <w:r>
        <w:rPr>
          <w:rFonts w:ascii="Times New Roman" w:hAnsi="Times New Roman" w:eastAsia="仿宋" w:cs="Times New Roman"/>
          <w:b/>
          <w:bCs/>
          <w:kern w:val="44"/>
          <w:sz w:val="32"/>
          <w:szCs w:val="44"/>
        </w:rPr>
        <w:t>（二）编制原则</w:t>
      </w:r>
    </w:p>
    <w:p>
      <w:pPr>
        <w:pStyle w:val="6"/>
        <w:ind w:firstLine="640"/>
        <w:rPr>
          <w:rFonts w:ascii="Times New Roman" w:hAnsi="Times New Roman" w:eastAsia="仿宋" w:cs="Times New Roman"/>
          <w:sz w:val="32"/>
          <w:szCs w:val="32"/>
        </w:rPr>
      </w:pPr>
      <w:bookmarkStart w:id="0" w:name="_Toc19906"/>
      <w:r>
        <w:rPr>
          <w:rFonts w:ascii="Times New Roman" w:hAnsi="Times New Roman" w:eastAsia="仿宋" w:cs="Times New Roman"/>
          <w:sz w:val="32"/>
          <w:szCs w:val="32"/>
        </w:rPr>
        <w:t>1、依法依规原则</w:t>
      </w:r>
    </w:p>
    <w:p>
      <w:pPr>
        <w:pStyle w:val="6"/>
        <w:ind w:firstLine="640"/>
        <w:rPr>
          <w:rFonts w:ascii="Times New Roman" w:hAnsi="Times New Roman" w:eastAsia="仿宋" w:cs="Times New Roman"/>
          <w:sz w:val="32"/>
          <w:szCs w:val="32"/>
        </w:rPr>
      </w:pPr>
      <w:r>
        <w:rPr>
          <w:rFonts w:ascii="Times New Roman" w:hAnsi="Times New Roman" w:eastAsia="仿宋" w:cs="Times New Roman"/>
          <w:sz w:val="32"/>
          <w:szCs w:val="32"/>
        </w:rPr>
        <w:t>2、保护优先原则</w:t>
      </w:r>
    </w:p>
    <w:bookmarkEnd w:id="0"/>
    <w:p>
      <w:pPr>
        <w:pStyle w:val="6"/>
        <w:ind w:firstLine="640"/>
        <w:rPr>
          <w:rFonts w:ascii="Times New Roman" w:hAnsi="Times New Roman" w:eastAsia="仿宋" w:cs="Times New Roman"/>
          <w:sz w:val="32"/>
          <w:szCs w:val="32"/>
        </w:rPr>
      </w:pPr>
      <w:bookmarkStart w:id="1" w:name="_Toc28757"/>
      <w:r>
        <w:rPr>
          <w:rFonts w:ascii="Times New Roman" w:hAnsi="Times New Roman" w:eastAsia="仿宋" w:cs="Times New Roman"/>
          <w:sz w:val="32"/>
          <w:szCs w:val="32"/>
        </w:rPr>
        <w:t>3、公共利益原则</w:t>
      </w:r>
    </w:p>
    <w:bookmarkEnd w:id="1"/>
    <w:p>
      <w:pPr>
        <w:pStyle w:val="6"/>
        <w:ind w:firstLine="640"/>
        <w:rPr>
          <w:rFonts w:ascii="Times New Roman" w:hAnsi="Times New Roman" w:eastAsia="仿宋" w:cs="Times New Roman"/>
          <w:sz w:val="32"/>
          <w:szCs w:val="32"/>
        </w:rPr>
      </w:pPr>
      <w:bookmarkStart w:id="2" w:name="_Toc11130"/>
      <w:r>
        <w:rPr>
          <w:rFonts w:hint="eastAsia" w:ascii="Times New Roman" w:hAnsi="Times New Roman" w:eastAsia="仿宋" w:cs="Times New Roman"/>
          <w:sz w:val="32"/>
          <w:szCs w:val="32"/>
          <w:lang w:val="en-US" w:eastAsia="zh-CN"/>
        </w:rPr>
        <w:t>4、</w:t>
      </w:r>
      <w:r>
        <w:rPr>
          <w:rFonts w:ascii="Times New Roman" w:hAnsi="Times New Roman" w:eastAsia="仿宋" w:cs="Times New Roman"/>
          <w:sz w:val="32"/>
          <w:szCs w:val="32"/>
        </w:rPr>
        <w:t>节约集约原则</w:t>
      </w:r>
    </w:p>
    <w:bookmarkEnd w:id="2"/>
    <w:p>
      <w:pPr>
        <w:pStyle w:val="6"/>
        <w:spacing w:line="740" w:lineRule="exact"/>
        <w:ind w:firstLine="643"/>
        <w:outlineLvl w:val="0"/>
        <w:rPr>
          <w:rFonts w:ascii="Times New Roman" w:hAnsi="Times New Roman" w:eastAsia="仿宋" w:cs="Times New Roman"/>
          <w:b/>
          <w:bCs/>
          <w:kern w:val="44"/>
          <w:sz w:val="32"/>
          <w:szCs w:val="44"/>
        </w:rPr>
      </w:pPr>
      <w:r>
        <w:rPr>
          <w:rFonts w:ascii="Times New Roman" w:hAnsi="Times New Roman" w:eastAsia="仿宋" w:cs="Times New Roman"/>
          <w:b/>
          <w:bCs/>
          <w:kern w:val="44"/>
          <w:sz w:val="32"/>
          <w:szCs w:val="44"/>
        </w:rPr>
        <w:t>二、成片开发范围基本情况</w:t>
      </w:r>
    </w:p>
    <w:p>
      <w:pPr>
        <w:pStyle w:val="6"/>
        <w:ind w:firstLine="640"/>
        <w:rPr>
          <w:rFonts w:ascii="Times New Roman" w:hAnsi="Times New Roman" w:eastAsia="仿宋" w:cs="Times New Roman"/>
          <w:sz w:val="32"/>
          <w:szCs w:val="32"/>
        </w:rPr>
      </w:pPr>
      <w:r>
        <w:rPr>
          <w:rFonts w:ascii="Times New Roman" w:hAnsi="Times New Roman" w:eastAsia="仿宋" w:cs="Times New Roman"/>
          <w:sz w:val="32"/>
          <w:szCs w:val="32"/>
        </w:rPr>
        <w:t>本次编制范围为汕头市</w:t>
      </w:r>
      <w:r>
        <w:rPr>
          <w:rFonts w:hint="eastAsia" w:ascii="Times New Roman" w:hAnsi="Times New Roman" w:eastAsia="仿宋" w:cs="Times New Roman"/>
          <w:sz w:val="32"/>
          <w:szCs w:val="32"/>
        </w:rPr>
        <w:t>金平</w:t>
      </w:r>
      <w:r>
        <w:rPr>
          <w:rFonts w:ascii="Times New Roman" w:hAnsi="Times New Roman" w:eastAsia="仿宋" w:cs="Times New Roman"/>
          <w:sz w:val="32"/>
          <w:szCs w:val="32"/>
        </w:rPr>
        <w:t>区行政辖区内，实施期限为三年，自2020年至2022年，共划定7个成片开发范围，总面积为214.0868公顷（折合3211.3020亩），计划实施10个征收项目，面积共179.7210公顷（折合2695.8150亩），占成片开发范围面积的比例为83.95%，符合拟征收地块面积不得少于成片开发范围60%的要求。详见下表1及附件1：</w:t>
      </w:r>
    </w:p>
    <w:p>
      <w:pPr>
        <w:numPr>
          <w:ilvl w:val="255"/>
          <w:numId w:val="0"/>
        </w:numPr>
        <w:spacing w:line="360" w:lineRule="auto"/>
        <w:jc w:val="center"/>
        <w:outlineLvl w:val="4"/>
        <w:rPr>
          <w:rFonts w:ascii="Times New Roman" w:hAnsi="Times New Roman" w:eastAsia="仿宋"/>
          <w:b/>
          <w:bCs/>
          <w:szCs w:val="24"/>
        </w:rPr>
      </w:pPr>
      <w:r>
        <w:rPr>
          <w:rFonts w:ascii="Times New Roman" w:hAnsi="Times New Roman" w:eastAsia="仿宋"/>
          <w:b/>
          <w:bCs/>
          <w:szCs w:val="24"/>
        </w:rPr>
        <w:t>表1</w:t>
      </w:r>
      <w:r>
        <w:rPr>
          <w:rFonts w:hint="eastAsia" w:eastAsia="仿宋"/>
          <w:b/>
          <w:bCs/>
          <w:szCs w:val="24"/>
          <w:lang w:val="en-US" w:eastAsia="zh-CN"/>
        </w:rPr>
        <w:t xml:space="preserve"> </w:t>
      </w:r>
      <w:r>
        <w:rPr>
          <w:rFonts w:ascii="Times New Roman" w:hAnsi="Times New Roman" w:eastAsia="仿宋"/>
          <w:b/>
          <w:bCs/>
          <w:szCs w:val="24"/>
        </w:rPr>
        <w:t>成片开发范围各片区情况表</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1335"/>
        <w:gridCol w:w="1150"/>
        <w:gridCol w:w="1227"/>
        <w:gridCol w:w="1136"/>
        <w:gridCol w:w="1148"/>
        <w:gridCol w:w="1382"/>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45"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b/>
                <w:bCs/>
                <w:kern w:val="0"/>
                <w:sz w:val="21"/>
              </w:rPr>
            </w:pPr>
            <w:r>
              <w:rPr>
                <w:rFonts w:ascii="Times New Roman" w:hAnsi="Times New Roman" w:eastAsia="仿宋"/>
                <w:b/>
                <w:bCs/>
                <w:kern w:val="0"/>
                <w:sz w:val="21"/>
              </w:rPr>
              <w:t>序号</w:t>
            </w:r>
          </w:p>
        </w:tc>
        <w:tc>
          <w:tcPr>
            <w:tcW w:w="670"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b/>
                <w:bCs/>
                <w:kern w:val="0"/>
                <w:sz w:val="21"/>
              </w:rPr>
            </w:pPr>
            <w:r>
              <w:rPr>
                <w:rFonts w:ascii="Times New Roman" w:hAnsi="Times New Roman" w:eastAsia="仿宋"/>
                <w:b/>
                <w:bCs/>
                <w:kern w:val="0"/>
                <w:sz w:val="21"/>
              </w:rPr>
              <w:t>片区名称</w:t>
            </w:r>
          </w:p>
        </w:tc>
        <w:tc>
          <w:tcPr>
            <w:tcW w:w="577"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b/>
                <w:bCs/>
                <w:kern w:val="0"/>
                <w:sz w:val="21"/>
              </w:rPr>
            </w:pPr>
            <w:r>
              <w:rPr>
                <w:rFonts w:ascii="Times New Roman" w:hAnsi="Times New Roman" w:eastAsia="仿宋"/>
                <w:b/>
                <w:bCs/>
                <w:kern w:val="0"/>
                <w:sz w:val="21"/>
              </w:rPr>
              <w:t>成片开发范围面积</w:t>
            </w:r>
          </w:p>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b/>
                <w:bCs/>
                <w:kern w:val="0"/>
                <w:sz w:val="21"/>
              </w:rPr>
            </w:pPr>
            <w:r>
              <w:rPr>
                <w:rFonts w:ascii="Times New Roman" w:hAnsi="Times New Roman" w:eastAsia="仿宋"/>
                <w:b/>
                <w:bCs/>
                <w:kern w:val="0"/>
                <w:sz w:val="21"/>
              </w:rPr>
              <w:t>（公顷）</w:t>
            </w:r>
          </w:p>
        </w:tc>
        <w:tc>
          <w:tcPr>
            <w:tcW w:w="616"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b/>
                <w:bCs/>
                <w:kern w:val="0"/>
                <w:sz w:val="21"/>
              </w:rPr>
            </w:pPr>
            <w:r>
              <w:rPr>
                <w:rFonts w:ascii="Times New Roman" w:hAnsi="Times New Roman" w:eastAsia="仿宋"/>
                <w:b/>
                <w:bCs/>
                <w:kern w:val="0"/>
                <w:sz w:val="21"/>
              </w:rPr>
              <w:t>成片开发范围面积</w:t>
            </w:r>
          </w:p>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b/>
                <w:bCs/>
                <w:kern w:val="0"/>
                <w:sz w:val="21"/>
              </w:rPr>
            </w:pPr>
            <w:r>
              <w:rPr>
                <w:rFonts w:ascii="Times New Roman" w:hAnsi="Times New Roman" w:eastAsia="仿宋"/>
                <w:b/>
                <w:bCs/>
                <w:kern w:val="0"/>
                <w:sz w:val="21"/>
              </w:rPr>
              <w:t>（亩）</w:t>
            </w:r>
          </w:p>
        </w:tc>
        <w:tc>
          <w:tcPr>
            <w:tcW w:w="570"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b/>
                <w:bCs/>
                <w:kern w:val="0"/>
                <w:sz w:val="21"/>
              </w:rPr>
            </w:pPr>
            <w:r>
              <w:rPr>
                <w:rFonts w:hint="eastAsia" w:ascii="Times New Roman" w:hAnsi="Times New Roman" w:eastAsia="仿宋"/>
                <w:b/>
                <w:bCs/>
                <w:kern w:val="0"/>
                <w:sz w:val="21"/>
              </w:rPr>
              <w:t>拟征地</w:t>
            </w:r>
            <w:r>
              <w:rPr>
                <w:rFonts w:ascii="Times New Roman" w:hAnsi="Times New Roman" w:eastAsia="仿宋"/>
                <w:b/>
                <w:bCs/>
                <w:kern w:val="0"/>
                <w:sz w:val="21"/>
              </w:rPr>
              <w:t>面积（公顷）</w:t>
            </w:r>
          </w:p>
        </w:tc>
        <w:tc>
          <w:tcPr>
            <w:tcW w:w="576"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b/>
                <w:bCs/>
                <w:kern w:val="0"/>
                <w:sz w:val="21"/>
              </w:rPr>
            </w:pPr>
            <w:r>
              <w:rPr>
                <w:rFonts w:hint="eastAsia" w:ascii="Times New Roman" w:hAnsi="Times New Roman" w:eastAsia="仿宋"/>
                <w:b/>
                <w:bCs/>
                <w:kern w:val="0"/>
                <w:sz w:val="21"/>
              </w:rPr>
              <w:t>拟征地</w:t>
            </w:r>
            <w:r>
              <w:rPr>
                <w:rFonts w:ascii="Times New Roman" w:hAnsi="Times New Roman" w:eastAsia="仿宋"/>
                <w:b/>
                <w:bCs/>
                <w:kern w:val="0"/>
                <w:sz w:val="21"/>
              </w:rPr>
              <w:t>面积（亩）</w:t>
            </w:r>
          </w:p>
        </w:tc>
        <w:tc>
          <w:tcPr>
            <w:tcW w:w="694"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b/>
                <w:bCs/>
                <w:kern w:val="0"/>
                <w:sz w:val="21"/>
              </w:rPr>
            </w:pPr>
            <w:r>
              <w:rPr>
                <w:rFonts w:hint="eastAsia" w:ascii="Times New Roman" w:hAnsi="Times New Roman" w:eastAsia="仿宋"/>
                <w:b/>
                <w:bCs/>
                <w:kern w:val="0"/>
                <w:sz w:val="21"/>
              </w:rPr>
              <w:t>拟征地面积</w:t>
            </w:r>
            <w:r>
              <w:rPr>
                <w:rFonts w:ascii="Times New Roman" w:hAnsi="Times New Roman" w:eastAsia="仿宋"/>
                <w:b/>
                <w:bCs/>
                <w:kern w:val="0"/>
                <w:sz w:val="21"/>
              </w:rPr>
              <w:t>占成片开发范围比例</w:t>
            </w:r>
          </w:p>
        </w:tc>
        <w:tc>
          <w:tcPr>
            <w:tcW w:w="1052"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b/>
                <w:bCs/>
                <w:kern w:val="0"/>
                <w:sz w:val="21"/>
              </w:rPr>
            </w:pPr>
            <w:r>
              <w:rPr>
                <w:rFonts w:ascii="Times New Roman" w:hAnsi="Times New Roman" w:eastAsia="仿宋"/>
                <w:b/>
                <w:bCs/>
                <w:kern w:val="0"/>
                <w:sz w:val="21"/>
              </w:rPr>
              <w:t>四至情况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45"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ascii="Times New Roman" w:hAnsi="Times New Roman" w:eastAsia="仿宋"/>
                <w:kern w:val="0"/>
                <w:sz w:val="21"/>
              </w:rPr>
              <w:t>1</w:t>
            </w:r>
          </w:p>
        </w:tc>
        <w:tc>
          <w:tcPr>
            <w:tcW w:w="670"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电商物流园区</w:t>
            </w:r>
          </w:p>
        </w:tc>
        <w:tc>
          <w:tcPr>
            <w:tcW w:w="577"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30.2028</w:t>
            </w:r>
          </w:p>
        </w:tc>
        <w:tc>
          <w:tcPr>
            <w:tcW w:w="616"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453.0420</w:t>
            </w:r>
          </w:p>
        </w:tc>
        <w:tc>
          <w:tcPr>
            <w:tcW w:w="570"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25.4170</w:t>
            </w:r>
          </w:p>
        </w:tc>
        <w:tc>
          <w:tcPr>
            <w:tcW w:w="576"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ascii="Times New Roman" w:hAnsi="Times New Roman" w:eastAsia="仿宋"/>
                <w:kern w:val="0"/>
                <w:sz w:val="21"/>
              </w:rPr>
              <w:t>381.2550</w:t>
            </w:r>
          </w:p>
        </w:tc>
        <w:tc>
          <w:tcPr>
            <w:tcW w:w="694"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color w:val="000000"/>
                <w:sz w:val="21"/>
                <w:szCs w:val="21"/>
              </w:rPr>
            </w:pPr>
            <w:r>
              <w:rPr>
                <w:rFonts w:ascii="Times New Roman" w:hAnsi="Times New Roman"/>
                <w:color w:val="000000"/>
                <w:sz w:val="21"/>
                <w:szCs w:val="21"/>
              </w:rPr>
              <w:t>84.15%</w:t>
            </w:r>
          </w:p>
        </w:tc>
        <w:tc>
          <w:tcPr>
            <w:tcW w:w="1052"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东临军基路，西临潮汕环线高速，南临金凤西路，北临农田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5"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ascii="Times New Roman" w:hAnsi="Times New Roman" w:eastAsia="仿宋"/>
                <w:kern w:val="0"/>
                <w:sz w:val="21"/>
              </w:rPr>
              <w:t>2</w:t>
            </w:r>
          </w:p>
        </w:tc>
        <w:tc>
          <w:tcPr>
            <w:tcW w:w="670"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莲塘工业园区片区</w:t>
            </w:r>
          </w:p>
        </w:tc>
        <w:tc>
          <w:tcPr>
            <w:tcW w:w="577"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44.5455</w:t>
            </w:r>
          </w:p>
        </w:tc>
        <w:tc>
          <w:tcPr>
            <w:tcW w:w="616"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668.1825</w:t>
            </w:r>
          </w:p>
        </w:tc>
        <w:tc>
          <w:tcPr>
            <w:tcW w:w="570"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35.2267</w:t>
            </w:r>
          </w:p>
        </w:tc>
        <w:tc>
          <w:tcPr>
            <w:tcW w:w="576"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ascii="Times New Roman" w:hAnsi="Times New Roman" w:eastAsia="仿宋"/>
                <w:kern w:val="0"/>
                <w:sz w:val="21"/>
              </w:rPr>
              <w:t>528.4005</w:t>
            </w:r>
          </w:p>
        </w:tc>
        <w:tc>
          <w:tcPr>
            <w:tcW w:w="694"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color w:val="000000"/>
                <w:sz w:val="21"/>
                <w:szCs w:val="21"/>
              </w:rPr>
            </w:pPr>
            <w:r>
              <w:rPr>
                <w:rFonts w:ascii="Times New Roman" w:hAnsi="Times New Roman"/>
                <w:color w:val="000000"/>
                <w:sz w:val="21"/>
                <w:szCs w:val="21"/>
              </w:rPr>
              <w:t>79.08%</w:t>
            </w:r>
          </w:p>
        </w:tc>
        <w:tc>
          <w:tcPr>
            <w:tcW w:w="1052"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东临华美山，西临鮀西路，南临莲塘工业区，北临潮汕环线高速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5"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ascii="Times New Roman" w:hAnsi="Times New Roman" w:eastAsia="仿宋"/>
                <w:kern w:val="0"/>
                <w:sz w:val="21"/>
              </w:rPr>
              <w:t>3</w:t>
            </w:r>
          </w:p>
        </w:tc>
        <w:tc>
          <w:tcPr>
            <w:tcW w:w="670"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汕头市金平区食品智慧产业园片区</w:t>
            </w:r>
          </w:p>
        </w:tc>
        <w:tc>
          <w:tcPr>
            <w:tcW w:w="577"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52.9330</w:t>
            </w:r>
          </w:p>
        </w:tc>
        <w:tc>
          <w:tcPr>
            <w:tcW w:w="616"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793.9950</w:t>
            </w:r>
          </w:p>
        </w:tc>
        <w:tc>
          <w:tcPr>
            <w:tcW w:w="570"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49.1905</w:t>
            </w:r>
          </w:p>
        </w:tc>
        <w:tc>
          <w:tcPr>
            <w:tcW w:w="576"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ascii="Times New Roman" w:hAnsi="Times New Roman" w:eastAsia="仿宋"/>
                <w:kern w:val="0"/>
                <w:sz w:val="21"/>
              </w:rPr>
              <w:t>737.8575</w:t>
            </w:r>
          </w:p>
        </w:tc>
        <w:tc>
          <w:tcPr>
            <w:tcW w:w="694"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color w:val="000000"/>
                <w:sz w:val="21"/>
                <w:szCs w:val="21"/>
              </w:rPr>
            </w:pPr>
            <w:r>
              <w:rPr>
                <w:rFonts w:ascii="Times New Roman" w:hAnsi="Times New Roman"/>
                <w:color w:val="000000"/>
                <w:sz w:val="21"/>
                <w:szCs w:val="21"/>
              </w:rPr>
              <w:t>92.93%</w:t>
            </w:r>
          </w:p>
        </w:tc>
        <w:tc>
          <w:tcPr>
            <w:tcW w:w="1052"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bCs/>
                <w:kern w:val="0"/>
                <w:sz w:val="21"/>
              </w:rPr>
            </w:pPr>
            <w:r>
              <w:rPr>
                <w:rFonts w:hint="eastAsia" w:ascii="Times New Roman" w:hAnsi="Times New Roman" w:eastAsia="仿宋"/>
                <w:bCs/>
                <w:kern w:val="0"/>
                <w:sz w:val="21"/>
              </w:rPr>
              <w:t>东临护堤路，西临潮汕路，南临厂房，北临厂房、农田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5"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ascii="Times New Roman" w:hAnsi="Times New Roman" w:eastAsia="仿宋"/>
                <w:kern w:val="0"/>
                <w:sz w:val="21"/>
              </w:rPr>
              <w:t>4</w:t>
            </w:r>
          </w:p>
        </w:tc>
        <w:tc>
          <w:tcPr>
            <w:tcW w:w="670"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大港河产城融合项目一期片区一</w:t>
            </w:r>
          </w:p>
        </w:tc>
        <w:tc>
          <w:tcPr>
            <w:tcW w:w="577"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31.6321</w:t>
            </w:r>
          </w:p>
        </w:tc>
        <w:tc>
          <w:tcPr>
            <w:tcW w:w="616"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474.4815</w:t>
            </w:r>
          </w:p>
        </w:tc>
        <w:tc>
          <w:tcPr>
            <w:tcW w:w="570"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21.2941</w:t>
            </w:r>
          </w:p>
        </w:tc>
        <w:tc>
          <w:tcPr>
            <w:tcW w:w="576"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ascii="Times New Roman" w:hAnsi="Times New Roman" w:eastAsia="仿宋"/>
                <w:kern w:val="0"/>
                <w:sz w:val="21"/>
              </w:rPr>
              <w:t>319.4115</w:t>
            </w:r>
          </w:p>
        </w:tc>
        <w:tc>
          <w:tcPr>
            <w:tcW w:w="694"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color w:val="000000"/>
                <w:sz w:val="21"/>
                <w:szCs w:val="21"/>
              </w:rPr>
            </w:pPr>
            <w:r>
              <w:rPr>
                <w:rFonts w:ascii="Times New Roman" w:hAnsi="Times New Roman"/>
                <w:color w:val="000000"/>
                <w:sz w:val="21"/>
                <w:szCs w:val="21"/>
              </w:rPr>
              <w:t>67.32%</w:t>
            </w:r>
          </w:p>
        </w:tc>
        <w:tc>
          <w:tcPr>
            <w:tcW w:w="1052"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b/>
                <w:kern w:val="0"/>
                <w:sz w:val="21"/>
              </w:rPr>
            </w:pPr>
            <w:r>
              <w:rPr>
                <w:rFonts w:hint="eastAsia" w:ascii="Times New Roman" w:hAnsi="Times New Roman" w:eastAsia="仿宋"/>
                <w:kern w:val="0"/>
                <w:sz w:val="21"/>
              </w:rPr>
              <w:t>东临牛田洋灌渠，西临采石场，南临金凤西路，北临文化路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5"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5</w:t>
            </w:r>
          </w:p>
        </w:tc>
        <w:tc>
          <w:tcPr>
            <w:tcW w:w="670"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大港河产城融合项目一期片区二</w:t>
            </w:r>
          </w:p>
        </w:tc>
        <w:tc>
          <w:tcPr>
            <w:tcW w:w="577"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19.0106</w:t>
            </w:r>
          </w:p>
        </w:tc>
        <w:tc>
          <w:tcPr>
            <w:tcW w:w="616"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285.1590</w:t>
            </w:r>
          </w:p>
        </w:tc>
        <w:tc>
          <w:tcPr>
            <w:tcW w:w="570"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17.1781</w:t>
            </w:r>
          </w:p>
        </w:tc>
        <w:tc>
          <w:tcPr>
            <w:tcW w:w="576"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ascii="Times New Roman" w:hAnsi="Times New Roman" w:eastAsia="仿宋"/>
                <w:kern w:val="0"/>
                <w:sz w:val="21"/>
              </w:rPr>
              <w:t>257.6715</w:t>
            </w:r>
          </w:p>
        </w:tc>
        <w:tc>
          <w:tcPr>
            <w:tcW w:w="694"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color w:val="000000"/>
                <w:sz w:val="21"/>
                <w:szCs w:val="21"/>
              </w:rPr>
            </w:pPr>
            <w:r>
              <w:rPr>
                <w:rFonts w:ascii="Times New Roman" w:hAnsi="Times New Roman"/>
                <w:color w:val="000000"/>
                <w:sz w:val="21"/>
                <w:szCs w:val="21"/>
              </w:rPr>
              <w:t>90.36%</w:t>
            </w:r>
          </w:p>
        </w:tc>
        <w:tc>
          <w:tcPr>
            <w:tcW w:w="1052"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东临大港河，西临牛田洋灌渠，南临金凤西路，北临农田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5"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ascii="Times New Roman" w:hAnsi="Times New Roman" w:eastAsia="仿宋"/>
                <w:kern w:val="0"/>
                <w:sz w:val="21"/>
              </w:rPr>
              <w:t>6</w:t>
            </w:r>
          </w:p>
        </w:tc>
        <w:tc>
          <w:tcPr>
            <w:tcW w:w="670"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金平工业园区现代产业集聚区西片区一</w:t>
            </w:r>
          </w:p>
        </w:tc>
        <w:tc>
          <w:tcPr>
            <w:tcW w:w="577"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8.8328</w:t>
            </w:r>
          </w:p>
        </w:tc>
        <w:tc>
          <w:tcPr>
            <w:tcW w:w="616"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132.4920</w:t>
            </w:r>
          </w:p>
        </w:tc>
        <w:tc>
          <w:tcPr>
            <w:tcW w:w="570"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ascii="Times New Roman" w:hAnsi="Times New Roman" w:eastAsia="仿宋"/>
                <w:kern w:val="0"/>
                <w:sz w:val="21"/>
              </w:rPr>
              <w:t>5.4311</w:t>
            </w:r>
          </w:p>
        </w:tc>
        <w:tc>
          <w:tcPr>
            <w:tcW w:w="576"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ascii="Times New Roman" w:hAnsi="Times New Roman" w:eastAsia="仿宋"/>
                <w:kern w:val="0"/>
                <w:sz w:val="21"/>
              </w:rPr>
              <w:t>81.4665</w:t>
            </w:r>
          </w:p>
        </w:tc>
        <w:tc>
          <w:tcPr>
            <w:tcW w:w="694"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color w:val="000000"/>
                <w:sz w:val="21"/>
                <w:szCs w:val="21"/>
              </w:rPr>
            </w:pPr>
            <w:r>
              <w:rPr>
                <w:rFonts w:ascii="Times New Roman" w:hAnsi="Times New Roman"/>
                <w:color w:val="000000"/>
                <w:sz w:val="21"/>
                <w:szCs w:val="21"/>
              </w:rPr>
              <w:t>61.49%</w:t>
            </w:r>
          </w:p>
        </w:tc>
        <w:tc>
          <w:tcPr>
            <w:tcW w:w="1052"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东临大港河，西临庵揭公路，南临规划澄海路，北临厂房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5" w:type="pct"/>
            <w:shd w:val="clear" w:color="auto" w:fill="auto"/>
            <w:noWrap/>
            <w:vAlign w:val="center"/>
          </w:tcPr>
          <w:p>
            <w:pPr>
              <w:keepNext/>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7</w:t>
            </w:r>
          </w:p>
        </w:tc>
        <w:tc>
          <w:tcPr>
            <w:tcW w:w="670" w:type="pct"/>
            <w:shd w:val="clear" w:color="auto" w:fill="auto"/>
            <w:noWrap/>
            <w:vAlign w:val="center"/>
          </w:tcPr>
          <w:p>
            <w:pPr>
              <w:keepNext/>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金平工业园区现代产业集聚区西片区二</w:t>
            </w:r>
          </w:p>
        </w:tc>
        <w:tc>
          <w:tcPr>
            <w:tcW w:w="577"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26.9300</w:t>
            </w:r>
          </w:p>
        </w:tc>
        <w:tc>
          <w:tcPr>
            <w:tcW w:w="616"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403.9500</w:t>
            </w:r>
          </w:p>
        </w:tc>
        <w:tc>
          <w:tcPr>
            <w:tcW w:w="570"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2</w:t>
            </w:r>
            <w:r>
              <w:rPr>
                <w:rFonts w:ascii="Times New Roman" w:hAnsi="Times New Roman" w:eastAsia="仿宋"/>
                <w:kern w:val="0"/>
                <w:sz w:val="21"/>
              </w:rPr>
              <w:t>5.9835</w:t>
            </w:r>
          </w:p>
        </w:tc>
        <w:tc>
          <w:tcPr>
            <w:tcW w:w="576"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color w:val="000000"/>
                <w:kern w:val="0"/>
                <w:sz w:val="21"/>
                <w:szCs w:val="21"/>
              </w:rPr>
            </w:pPr>
            <w:r>
              <w:rPr>
                <w:rFonts w:ascii="Times New Roman" w:hAnsi="Times New Roman"/>
                <w:color w:val="000000"/>
                <w:sz w:val="21"/>
                <w:szCs w:val="21"/>
              </w:rPr>
              <w:t>389.7525</w:t>
            </w:r>
          </w:p>
        </w:tc>
        <w:tc>
          <w:tcPr>
            <w:tcW w:w="694"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color w:val="000000"/>
                <w:kern w:val="0"/>
                <w:sz w:val="21"/>
                <w:szCs w:val="21"/>
              </w:rPr>
            </w:pPr>
            <w:r>
              <w:rPr>
                <w:rFonts w:ascii="Times New Roman" w:hAnsi="Times New Roman"/>
                <w:color w:val="000000"/>
                <w:sz w:val="21"/>
                <w:szCs w:val="21"/>
              </w:rPr>
              <w:t>96.49%</w:t>
            </w:r>
          </w:p>
        </w:tc>
        <w:tc>
          <w:tcPr>
            <w:tcW w:w="1052" w:type="pct"/>
            <w:shd w:val="clear" w:color="auto" w:fill="auto"/>
            <w:vAlign w:val="center"/>
          </w:tcPr>
          <w:p>
            <w:pPr>
              <w:keepNext/>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kern w:val="0"/>
                <w:sz w:val="21"/>
              </w:rPr>
            </w:pPr>
            <w:r>
              <w:rPr>
                <w:rFonts w:hint="eastAsia" w:ascii="Times New Roman" w:hAnsi="Times New Roman" w:eastAsia="仿宋"/>
                <w:kern w:val="0"/>
                <w:sz w:val="21"/>
              </w:rPr>
              <w:t>东临西港河，西临大港河，南临厂房，北临西港河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5" w:type="pct"/>
            <w:gridSpan w:val="2"/>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b/>
                <w:kern w:val="0"/>
                <w:sz w:val="21"/>
              </w:rPr>
            </w:pPr>
            <w:r>
              <w:rPr>
                <w:rFonts w:ascii="Times New Roman" w:hAnsi="Times New Roman" w:eastAsia="仿宋"/>
                <w:b/>
                <w:kern w:val="0"/>
                <w:sz w:val="21"/>
              </w:rPr>
              <w:t>合计</w:t>
            </w:r>
          </w:p>
        </w:tc>
        <w:tc>
          <w:tcPr>
            <w:tcW w:w="577"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b/>
                <w:bCs/>
                <w:kern w:val="0"/>
                <w:sz w:val="21"/>
              </w:rPr>
            </w:pPr>
            <w:r>
              <w:rPr>
                <w:rFonts w:hint="eastAsia" w:ascii="Times New Roman" w:hAnsi="Times New Roman" w:eastAsia="仿宋"/>
                <w:b/>
                <w:bCs/>
                <w:kern w:val="0"/>
                <w:sz w:val="21"/>
              </w:rPr>
              <w:t>2</w:t>
            </w:r>
            <w:r>
              <w:rPr>
                <w:rFonts w:ascii="Times New Roman" w:hAnsi="Times New Roman" w:eastAsia="仿宋"/>
                <w:b/>
                <w:bCs/>
                <w:kern w:val="0"/>
                <w:sz w:val="21"/>
              </w:rPr>
              <w:t>14.0868</w:t>
            </w:r>
          </w:p>
        </w:tc>
        <w:tc>
          <w:tcPr>
            <w:tcW w:w="616"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b/>
                <w:bCs/>
                <w:kern w:val="0"/>
                <w:sz w:val="21"/>
              </w:rPr>
            </w:pPr>
            <w:r>
              <w:rPr>
                <w:rFonts w:hint="eastAsia" w:ascii="Times New Roman" w:hAnsi="Times New Roman" w:eastAsia="仿宋"/>
                <w:b/>
                <w:bCs/>
                <w:kern w:val="0"/>
                <w:sz w:val="21"/>
              </w:rPr>
              <w:t>3</w:t>
            </w:r>
            <w:r>
              <w:rPr>
                <w:rFonts w:ascii="Times New Roman" w:hAnsi="Times New Roman" w:eastAsia="仿宋"/>
                <w:b/>
                <w:bCs/>
                <w:kern w:val="0"/>
                <w:sz w:val="21"/>
              </w:rPr>
              <w:t>211.3020</w:t>
            </w:r>
          </w:p>
        </w:tc>
        <w:tc>
          <w:tcPr>
            <w:tcW w:w="570"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center"/>
              <w:rPr>
                <w:rFonts w:ascii="Times New Roman" w:hAnsi="Times New Roman" w:eastAsia="仿宋"/>
                <w:b/>
                <w:bCs/>
                <w:kern w:val="0"/>
                <w:sz w:val="21"/>
              </w:rPr>
            </w:pPr>
            <w:r>
              <w:rPr>
                <w:rFonts w:hint="eastAsia" w:ascii="Times New Roman" w:hAnsi="Times New Roman" w:eastAsia="仿宋"/>
                <w:b/>
                <w:bCs/>
                <w:kern w:val="0"/>
                <w:sz w:val="21"/>
              </w:rPr>
              <w:t>1</w:t>
            </w:r>
            <w:r>
              <w:rPr>
                <w:rFonts w:ascii="Times New Roman" w:hAnsi="Times New Roman" w:eastAsia="仿宋"/>
                <w:b/>
                <w:bCs/>
                <w:kern w:val="0"/>
                <w:sz w:val="21"/>
              </w:rPr>
              <w:t>79.7210</w:t>
            </w:r>
          </w:p>
        </w:tc>
        <w:tc>
          <w:tcPr>
            <w:tcW w:w="576"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b/>
                <w:kern w:val="0"/>
                <w:sz w:val="21"/>
              </w:rPr>
            </w:pPr>
            <w:r>
              <w:rPr>
                <w:rFonts w:ascii="Times New Roman" w:hAnsi="Times New Roman" w:eastAsia="仿宋"/>
                <w:b/>
                <w:kern w:val="0"/>
                <w:sz w:val="21"/>
              </w:rPr>
              <w:t>2695.8150</w:t>
            </w:r>
          </w:p>
        </w:tc>
        <w:tc>
          <w:tcPr>
            <w:tcW w:w="694"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center"/>
              <w:rPr>
                <w:rFonts w:ascii="Times New Roman" w:hAnsi="Times New Roman" w:eastAsia="仿宋"/>
                <w:b/>
                <w:bCs/>
                <w:kern w:val="0"/>
                <w:sz w:val="21"/>
                <w:szCs w:val="21"/>
              </w:rPr>
            </w:pPr>
            <w:r>
              <w:rPr>
                <w:rFonts w:hint="eastAsia" w:ascii="Times New Roman" w:hAnsi="Times New Roman" w:eastAsia="仿宋"/>
                <w:b/>
                <w:bCs/>
                <w:kern w:val="0"/>
                <w:sz w:val="21"/>
                <w:szCs w:val="21"/>
              </w:rPr>
              <w:t>8</w:t>
            </w:r>
            <w:r>
              <w:rPr>
                <w:rFonts w:ascii="Times New Roman" w:hAnsi="Times New Roman" w:eastAsia="仿宋"/>
                <w:b/>
                <w:bCs/>
                <w:kern w:val="0"/>
                <w:sz w:val="21"/>
                <w:szCs w:val="21"/>
              </w:rPr>
              <w:t>3.95</w:t>
            </w:r>
            <w:r>
              <w:rPr>
                <w:rFonts w:hint="eastAsia" w:ascii="Times New Roman" w:hAnsi="Times New Roman" w:eastAsia="仿宋"/>
                <w:b/>
                <w:bCs/>
                <w:kern w:val="0"/>
                <w:sz w:val="21"/>
                <w:szCs w:val="21"/>
              </w:rPr>
              <w:t>%</w:t>
            </w:r>
          </w:p>
        </w:tc>
        <w:tc>
          <w:tcPr>
            <w:tcW w:w="1052"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rPr>
                <w:rFonts w:ascii="Times New Roman" w:hAnsi="Times New Roman" w:eastAsia="仿宋"/>
                <w:b/>
                <w:kern w:val="0"/>
                <w:sz w:val="21"/>
              </w:rPr>
            </w:pPr>
            <w:r>
              <w:rPr>
                <w:rFonts w:ascii="Times New Roman" w:hAnsi="Times New Roman" w:eastAsia="仿宋"/>
                <w:b/>
                <w:kern w:val="0"/>
                <w:sz w:val="21"/>
              </w:rPr>
              <w:t>——</w:t>
            </w:r>
          </w:p>
        </w:tc>
      </w:tr>
    </w:tbl>
    <w:p>
      <w:pPr>
        <w:rPr>
          <w:rFonts w:ascii="Times New Roman" w:hAnsi="Times New Roman" w:eastAsia="仿宋" w:cs="Times New Roman"/>
          <w:b/>
          <w:bCs/>
          <w:kern w:val="44"/>
          <w:sz w:val="32"/>
          <w:szCs w:val="44"/>
        </w:rPr>
      </w:pPr>
      <w:r>
        <w:rPr>
          <w:rFonts w:ascii="Times New Roman" w:hAnsi="Times New Roman" w:eastAsia="仿宋" w:cs="Times New Roman"/>
          <w:b/>
          <w:bCs/>
          <w:kern w:val="44"/>
          <w:sz w:val="32"/>
          <w:szCs w:val="44"/>
        </w:rPr>
        <w:br w:type="page"/>
      </w:r>
    </w:p>
    <w:p>
      <w:pPr>
        <w:pStyle w:val="6"/>
        <w:spacing w:line="740" w:lineRule="exact"/>
        <w:ind w:firstLine="643"/>
        <w:outlineLvl w:val="0"/>
        <w:rPr>
          <w:rFonts w:ascii="Times New Roman" w:hAnsi="Times New Roman" w:eastAsia="仿宋" w:cs="Times New Roman"/>
          <w:b/>
          <w:bCs/>
          <w:kern w:val="44"/>
          <w:sz w:val="32"/>
          <w:szCs w:val="44"/>
        </w:rPr>
      </w:pPr>
      <w:r>
        <w:rPr>
          <w:rFonts w:ascii="Times New Roman" w:hAnsi="Times New Roman" w:eastAsia="仿宋" w:cs="Times New Roman"/>
          <w:b/>
          <w:bCs/>
          <w:kern w:val="44"/>
          <w:sz w:val="32"/>
          <w:szCs w:val="44"/>
        </w:rPr>
        <w:t>三、成片开发的必要性</w:t>
      </w:r>
    </w:p>
    <w:p>
      <w:pPr>
        <w:pStyle w:val="6"/>
        <w:spacing w:line="700" w:lineRule="exact"/>
        <w:ind w:firstLine="643"/>
        <w:rPr>
          <w:rFonts w:ascii="Times New Roman" w:hAnsi="Times New Roman" w:eastAsia="仿宋" w:cs="Times New Roman"/>
          <w:b/>
          <w:bCs/>
          <w:kern w:val="44"/>
          <w:sz w:val="32"/>
          <w:szCs w:val="44"/>
        </w:rPr>
      </w:pPr>
      <w:bookmarkStart w:id="3" w:name="_Toc93061312"/>
      <w:r>
        <w:rPr>
          <w:rFonts w:ascii="Times New Roman" w:hAnsi="Times New Roman" w:eastAsia="仿宋" w:cs="Times New Roman"/>
          <w:b/>
          <w:bCs/>
          <w:kern w:val="44"/>
          <w:sz w:val="32"/>
          <w:szCs w:val="44"/>
        </w:rPr>
        <w:t>（一）有助于汕头市建设新时代富有活力的中国特色社会主义经济特区</w:t>
      </w:r>
      <w:bookmarkEnd w:id="3"/>
    </w:p>
    <w:p>
      <w:pPr>
        <w:pStyle w:val="6"/>
        <w:ind w:firstLine="640"/>
        <w:rPr>
          <w:rFonts w:ascii="Times New Roman" w:hAnsi="Times New Roman" w:eastAsia="仿宋" w:cs="Times New Roman"/>
          <w:sz w:val="32"/>
          <w:szCs w:val="32"/>
        </w:rPr>
      </w:pPr>
      <w:r>
        <w:rPr>
          <w:rFonts w:ascii="Times New Roman" w:hAnsi="Times New Roman" w:eastAsia="仿宋" w:cs="Times New Roman"/>
          <w:sz w:val="32"/>
          <w:szCs w:val="32"/>
        </w:rPr>
        <w:t>2020年10月13日，习近平总书记在汕头考察调研时，要求汕头市充分利用建设粤港澳大湾区、共建“一带一路”等重要机遇，找准定位、扬长避短，以更大魄力、在更高起点上推进改革开放，在新时代经济特区建设中迎头赶上。省委、省政府坚决贯彻落实习近平总书记的重要指示要求，明确以汕头市为中心，以汕潮揭临港空铁经济合作区等战略平台为重点，大力培育汕潮揭都市圈，支持汕头市建设新时代富有活力的中国特色社会主义经济特区；广东省委、省政府赋予汕头市部分省级管理权限，明确省域副中心城市的功能定位，部署推动深圳市与汕头市建立“核+副中心”深度协作机制，实现互利共赢，建设高水平开放型经济新体制。面临此重大机遇，汕头市委市政府提出“工业立市、产业强市”战略部署，重点强化工业用地保障，科学划定工业用地红线，确保工业用地规模，为工业发展提供充足的土地空间，加快产业转型升级，推动经济高质量发展。</w:t>
      </w:r>
    </w:p>
    <w:p>
      <w:pPr>
        <w:pStyle w:val="6"/>
        <w:spacing w:line="700" w:lineRule="exact"/>
        <w:ind w:firstLine="643"/>
        <w:rPr>
          <w:rFonts w:ascii="Times New Roman" w:hAnsi="Times New Roman" w:eastAsia="仿宋" w:cs="Times New Roman"/>
          <w:b/>
          <w:bCs/>
          <w:kern w:val="44"/>
          <w:sz w:val="32"/>
          <w:szCs w:val="44"/>
        </w:rPr>
      </w:pPr>
      <w:r>
        <w:rPr>
          <w:rFonts w:hint="eastAsia" w:ascii="Times New Roman" w:hAnsi="Times New Roman" w:eastAsia="仿宋" w:cs="Times New Roman"/>
          <w:b/>
          <w:bCs/>
          <w:kern w:val="44"/>
          <w:sz w:val="32"/>
          <w:szCs w:val="44"/>
        </w:rPr>
        <w:t>（二）有助于金平区建设“产业强区、科教兴区、商贸旺区、文化活区、环境优区”</w:t>
      </w:r>
    </w:p>
    <w:p>
      <w:pPr>
        <w:pStyle w:val="6"/>
        <w:ind w:firstLine="640"/>
        <w:rPr>
          <w:rFonts w:ascii="Times New Roman" w:hAnsi="Times New Roman" w:eastAsia="仿宋" w:cs="Times New Roman"/>
          <w:sz w:val="32"/>
          <w:szCs w:val="32"/>
        </w:rPr>
      </w:pPr>
      <w:r>
        <w:rPr>
          <w:rFonts w:hint="eastAsia" w:ascii="Times New Roman" w:hAnsi="Times New Roman" w:eastAsia="仿宋" w:cs="Times New Roman"/>
          <w:sz w:val="32"/>
          <w:szCs w:val="32"/>
        </w:rPr>
        <w:t>2</w:t>
      </w:r>
      <w:r>
        <w:rPr>
          <w:rFonts w:ascii="Times New Roman" w:hAnsi="Times New Roman" w:eastAsia="仿宋" w:cs="Times New Roman"/>
          <w:sz w:val="32"/>
          <w:szCs w:val="32"/>
        </w:rPr>
        <w:t>022</w:t>
      </w:r>
      <w:r>
        <w:rPr>
          <w:rFonts w:hint="eastAsia" w:ascii="Times New Roman" w:hAnsi="Times New Roman" w:eastAsia="仿宋" w:cs="Times New Roman"/>
          <w:sz w:val="32"/>
          <w:szCs w:val="32"/>
        </w:rPr>
        <w:t>年3月</w:t>
      </w:r>
      <w:r>
        <w:rPr>
          <w:rFonts w:ascii="Times New Roman" w:hAnsi="Times New Roman" w:eastAsia="仿宋" w:cs="Times New Roman"/>
          <w:sz w:val="32"/>
          <w:szCs w:val="32"/>
        </w:rPr>
        <w:t>26</w:t>
      </w:r>
      <w:r>
        <w:rPr>
          <w:rFonts w:hint="eastAsia" w:ascii="Times New Roman" w:hAnsi="Times New Roman" w:eastAsia="仿宋" w:cs="Times New Roman"/>
          <w:sz w:val="32"/>
          <w:szCs w:val="32"/>
        </w:rPr>
        <w:t>日，汕头市金平区第五届人民代表大会第二次会议提出金平区2</w:t>
      </w:r>
      <w:r>
        <w:rPr>
          <w:rFonts w:ascii="Times New Roman" w:hAnsi="Times New Roman" w:eastAsia="仿宋" w:cs="Times New Roman"/>
          <w:sz w:val="32"/>
          <w:szCs w:val="32"/>
        </w:rPr>
        <w:t>022</w:t>
      </w:r>
      <w:r>
        <w:rPr>
          <w:rFonts w:hint="eastAsia" w:ascii="Times New Roman" w:hAnsi="Times New Roman" w:eastAsia="仿宋" w:cs="Times New Roman"/>
          <w:sz w:val="32"/>
          <w:szCs w:val="32"/>
        </w:rPr>
        <w:t>年总体要求。要求</w:t>
      </w:r>
      <w:r>
        <w:rPr>
          <w:rFonts w:ascii="Times New Roman" w:hAnsi="Times New Roman" w:eastAsia="仿宋" w:cs="Times New Roman"/>
          <w:sz w:val="32"/>
          <w:szCs w:val="32"/>
        </w:rPr>
        <w:t>以习近平新时代中国特色社会主义思想为指导，全面贯彻落实党的十九大和十九届历次全会及中央经济工作会议精神，深入贯彻习近平总书记</w:t>
      </w:r>
      <w:r>
        <w:rPr>
          <w:rFonts w:hint="eastAsia" w:ascii="Times New Roman" w:hAnsi="Times New Roman" w:eastAsia="仿宋" w:cs="Times New Roman"/>
          <w:sz w:val="32"/>
          <w:szCs w:val="32"/>
        </w:rPr>
        <w:t>对</w:t>
      </w:r>
      <w:r>
        <w:rPr>
          <w:rFonts w:ascii="Times New Roman" w:hAnsi="Times New Roman" w:eastAsia="仿宋" w:cs="Times New Roman"/>
          <w:sz w:val="32"/>
          <w:szCs w:val="32"/>
        </w:rPr>
        <w:t>广东</w:t>
      </w:r>
      <w:r>
        <w:rPr>
          <w:rFonts w:hint="eastAsia" w:ascii="Times New Roman" w:hAnsi="Times New Roman" w:eastAsia="仿宋" w:cs="Times New Roman"/>
          <w:sz w:val="32"/>
          <w:szCs w:val="32"/>
        </w:rPr>
        <w:t>系列</w:t>
      </w:r>
      <w:r>
        <w:rPr>
          <w:rFonts w:ascii="Times New Roman" w:hAnsi="Times New Roman" w:eastAsia="仿宋" w:cs="Times New Roman"/>
          <w:sz w:val="32"/>
          <w:szCs w:val="32"/>
        </w:rPr>
        <w:t>重要讲话</w:t>
      </w:r>
      <w:r>
        <w:rPr>
          <w:rFonts w:hint="eastAsia" w:ascii="Times New Roman" w:hAnsi="Times New Roman" w:eastAsia="仿宋" w:cs="Times New Roman"/>
          <w:sz w:val="32"/>
          <w:szCs w:val="32"/>
        </w:rPr>
        <w:t>和</w:t>
      </w:r>
      <w:r>
        <w:rPr>
          <w:rFonts w:ascii="Times New Roman" w:hAnsi="Times New Roman" w:eastAsia="仿宋" w:cs="Times New Roman"/>
          <w:sz w:val="32"/>
          <w:szCs w:val="32"/>
        </w:rPr>
        <w:t>重要指示</w:t>
      </w:r>
      <w:r>
        <w:rPr>
          <w:rFonts w:hint="eastAsia" w:ascii="Times New Roman" w:hAnsi="Times New Roman" w:eastAsia="仿宋" w:cs="Times New Roman"/>
          <w:sz w:val="32"/>
          <w:szCs w:val="32"/>
        </w:rPr>
        <w:t>批示</w:t>
      </w:r>
      <w:r>
        <w:rPr>
          <w:rFonts w:ascii="Times New Roman" w:hAnsi="Times New Roman" w:eastAsia="仿宋" w:cs="Times New Roman"/>
          <w:sz w:val="32"/>
          <w:szCs w:val="32"/>
        </w:rPr>
        <w:t>精神，弘扬伟大建党精神，坚持稳中求进工作总基调，统筹疫情防控和经济社会发展，统筹发展和安全，全面落实</w:t>
      </w:r>
      <w:r>
        <w:rPr>
          <w:rFonts w:hint="eastAsia" w:ascii="Times New Roman" w:hAnsi="Times New Roman" w:eastAsia="仿宋" w:cs="Times New Roman"/>
          <w:sz w:val="32"/>
          <w:szCs w:val="32"/>
        </w:rPr>
        <w:t>“</w:t>
      </w:r>
      <w:r>
        <w:rPr>
          <w:rFonts w:ascii="Times New Roman" w:hAnsi="Times New Roman" w:eastAsia="仿宋" w:cs="Times New Roman"/>
          <w:sz w:val="32"/>
          <w:szCs w:val="32"/>
        </w:rPr>
        <w:t>1+1+9</w:t>
      </w:r>
      <w:r>
        <w:rPr>
          <w:rFonts w:hint="eastAsia" w:ascii="Times New Roman" w:hAnsi="Times New Roman" w:eastAsia="仿宋" w:cs="Times New Roman"/>
          <w:sz w:val="32"/>
          <w:szCs w:val="32"/>
        </w:rPr>
        <w:t>”</w:t>
      </w:r>
      <w:r>
        <w:rPr>
          <w:rFonts w:ascii="Times New Roman" w:hAnsi="Times New Roman" w:eastAsia="仿宋" w:cs="Times New Roman"/>
          <w:sz w:val="32"/>
          <w:szCs w:val="32"/>
        </w:rPr>
        <w:t>工作部署</w:t>
      </w:r>
      <w:r>
        <w:rPr>
          <w:rFonts w:hint="eastAsia" w:ascii="Times New Roman" w:hAnsi="Times New Roman" w:eastAsia="仿宋" w:cs="Times New Roman"/>
          <w:sz w:val="32"/>
          <w:szCs w:val="32"/>
        </w:rPr>
        <w:t>和“</w:t>
      </w:r>
      <w:r>
        <w:rPr>
          <w:rFonts w:ascii="Times New Roman" w:hAnsi="Times New Roman" w:eastAsia="仿宋" w:cs="Times New Roman"/>
          <w:sz w:val="32"/>
          <w:szCs w:val="32"/>
        </w:rPr>
        <w:t>工业立市、产业强市</w:t>
      </w:r>
      <w:r>
        <w:rPr>
          <w:rFonts w:hint="eastAsia" w:ascii="Times New Roman" w:hAnsi="Times New Roman" w:eastAsia="仿宋" w:cs="Times New Roman"/>
          <w:sz w:val="32"/>
          <w:szCs w:val="32"/>
        </w:rPr>
        <w:t>”工作要求</w:t>
      </w:r>
      <w:r>
        <w:rPr>
          <w:rFonts w:ascii="Times New Roman" w:hAnsi="Times New Roman" w:eastAsia="仿宋" w:cs="Times New Roman"/>
          <w:sz w:val="32"/>
          <w:szCs w:val="32"/>
        </w:rPr>
        <w:t>，</w:t>
      </w:r>
      <w:r>
        <w:rPr>
          <w:rFonts w:hint="eastAsia" w:ascii="Times New Roman" w:hAnsi="Times New Roman" w:eastAsia="仿宋" w:cs="Times New Roman"/>
          <w:sz w:val="32"/>
          <w:szCs w:val="32"/>
        </w:rPr>
        <w:t>全力推进“产业强区、科教兴区、商贸旺区、文化活区、环境优区”，扎实</w:t>
      </w:r>
      <w:r>
        <w:rPr>
          <w:rFonts w:ascii="Times New Roman" w:hAnsi="Times New Roman" w:eastAsia="仿宋" w:cs="Times New Roman"/>
          <w:sz w:val="32"/>
          <w:szCs w:val="32"/>
        </w:rPr>
        <w:t>做好</w:t>
      </w:r>
      <w:r>
        <w:rPr>
          <w:rFonts w:hint="eastAsia" w:ascii="Times New Roman" w:hAnsi="Times New Roman" w:eastAsia="仿宋" w:cs="Times New Roman"/>
          <w:sz w:val="32"/>
          <w:szCs w:val="32"/>
        </w:rPr>
        <w:t>“</w:t>
      </w:r>
      <w:r>
        <w:rPr>
          <w:rFonts w:ascii="Times New Roman" w:hAnsi="Times New Roman" w:eastAsia="仿宋" w:cs="Times New Roman"/>
          <w:sz w:val="32"/>
          <w:szCs w:val="32"/>
        </w:rPr>
        <w:t>六稳</w:t>
      </w:r>
      <w:r>
        <w:rPr>
          <w:rFonts w:hint="eastAsia" w:ascii="Times New Roman" w:hAnsi="Times New Roman" w:eastAsia="仿宋" w:cs="Times New Roman"/>
          <w:sz w:val="32"/>
          <w:szCs w:val="32"/>
        </w:rPr>
        <w:t>”、“</w:t>
      </w:r>
      <w:r>
        <w:rPr>
          <w:rFonts w:ascii="Times New Roman" w:hAnsi="Times New Roman" w:eastAsia="仿宋" w:cs="Times New Roman"/>
          <w:sz w:val="32"/>
          <w:szCs w:val="32"/>
        </w:rPr>
        <w:t>六保</w:t>
      </w:r>
      <w:r>
        <w:rPr>
          <w:rFonts w:hint="eastAsia" w:ascii="Times New Roman" w:hAnsi="Times New Roman" w:eastAsia="仿宋" w:cs="Times New Roman"/>
          <w:sz w:val="32"/>
          <w:szCs w:val="32"/>
        </w:rPr>
        <w:t>”</w:t>
      </w:r>
      <w:r>
        <w:rPr>
          <w:rFonts w:ascii="Times New Roman" w:hAnsi="Times New Roman" w:eastAsia="仿宋" w:cs="Times New Roman"/>
          <w:sz w:val="32"/>
          <w:szCs w:val="32"/>
        </w:rPr>
        <w:t>工作，持续改善民生，推动经济保持平稳健康发展，保持社会大局稳定。</w:t>
      </w:r>
    </w:p>
    <w:p>
      <w:pPr>
        <w:pStyle w:val="6"/>
        <w:ind w:firstLine="640"/>
        <w:rPr>
          <w:rFonts w:ascii="Times New Roman" w:hAnsi="Times New Roman" w:eastAsia="仿宋" w:cs="Times New Roman"/>
          <w:sz w:val="32"/>
          <w:szCs w:val="32"/>
        </w:rPr>
      </w:pPr>
      <w:r>
        <w:rPr>
          <w:rFonts w:ascii="Times New Roman" w:hAnsi="Times New Roman" w:eastAsia="仿宋" w:cs="Times New Roman"/>
          <w:sz w:val="32"/>
          <w:szCs w:val="32"/>
        </w:rPr>
        <w:t>汕头市</w:t>
      </w:r>
      <w:r>
        <w:rPr>
          <w:rFonts w:hint="eastAsia" w:ascii="Times New Roman" w:hAnsi="Times New Roman" w:eastAsia="仿宋" w:cs="Times New Roman"/>
          <w:sz w:val="32"/>
          <w:szCs w:val="32"/>
        </w:rPr>
        <w:t>金平区</w:t>
      </w:r>
      <w:r>
        <w:rPr>
          <w:rFonts w:ascii="Times New Roman" w:hAnsi="Times New Roman" w:eastAsia="仿宋" w:cs="Times New Roman"/>
          <w:sz w:val="32"/>
          <w:szCs w:val="32"/>
        </w:rPr>
        <w:t>2022年度土地征收成片开发方案的实施，既是贯彻落实习近平总书记对于汕头市的重要指示精神，也是牢牢把握新时代</w:t>
      </w:r>
      <w:r>
        <w:rPr>
          <w:rFonts w:hint="eastAsia" w:ascii="Times New Roman" w:hAnsi="Times New Roman" w:eastAsia="仿宋" w:cs="Times New Roman"/>
          <w:sz w:val="32"/>
          <w:szCs w:val="32"/>
        </w:rPr>
        <w:t>金平区</w:t>
      </w:r>
      <w:r>
        <w:rPr>
          <w:rFonts w:ascii="Times New Roman" w:hAnsi="Times New Roman" w:eastAsia="仿宋" w:cs="Times New Roman"/>
          <w:sz w:val="32"/>
          <w:szCs w:val="32"/>
        </w:rPr>
        <w:t>加快发展的新任务新要求，对于</w:t>
      </w:r>
      <w:r>
        <w:rPr>
          <w:rFonts w:hint="eastAsia" w:ascii="Times New Roman" w:hAnsi="Times New Roman" w:eastAsia="仿宋" w:cs="Times New Roman"/>
          <w:sz w:val="32"/>
          <w:szCs w:val="32"/>
        </w:rPr>
        <w:t>金平区建设“产业强区、科教兴区、商贸旺区、文化活区、环境优区”</w:t>
      </w:r>
      <w:r>
        <w:rPr>
          <w:rFonts w:ascii="Times New Roman" w:hAnsi="Times New Roman" w:eastAsia="仿宋" w:cs="Times New Roman"/>
          <w:sz w:val="32"/>
          <w:szCs w:val="32"/>
        </w:rPr>
        <w:t>具有重要意义。</w:t>
      </w:r>
    </w:p>
    <w:p>
      <w:pPr>
        <w:pStyle w:val="6"/>
        <w:spacing w:line="700" w:lineRule="exact"/>
        <w:ind w:firstLine="643"/>
        <w:rPr>
          <w:rFonts w:ascii="Times New Roman" w:hAnsi="Times New Roman" w:eastAsia="仿宋" w:cs="Times New Roman"/>
          <w:b/>
          <w:bCs/>
          <w:kern w:val="44"/>
          <w:sz w:val="32"/>
          <w:szCs w:val="44"/>
        </w:rPr>
      </w:pPr>
      <w:r>
        <w:rPr>
          <w:rFonts w:ascii="Times New Roman" w:hAnsi="Times New Roman" w:eastAsia="仿宋" w:cs="Times New Roman"/>
          <w:b/>
          <w:bCs/>
          <w:kern w:val="44"/>
          <w:sz w:val="32"/>
          <w:szCs w:val="44"/>
        </w:rPr>
        <w:t>（</w:t>
      </w:r>
      <w:r>
        <w:rPr>
          <w:rFonts w:hint="eastAsia" w:ascii="Times New Roman" w:hAnsi="Times New Roman" w:eastAsia="仿宋" w:cs="Times New Roman"/>
          <w:b/>
          <w:bCs/>
          <w:kern w:val="44"/>
          <w:sz w:val="32"/>
          <w:szCs w:val="44"/>
        </w:rPr>
        <w:t>三</w:t>
      </w:r>
      <w:r>
        <w:rPr>
          <w:rFonts w:ascii="Times New Roman" w:hAnsi="Times New Roman" w:eastAsia="仿宋" w:cs="Times New Roman"/>
          <w:b/>
          <w:bCs/>
          <w:kern w:val="44"/>
          <w:sz w:val="32"/>
          <w:szCs w:val="44"/>
        </w:rPr>
        <w:t>）</w:t>
      </w:r>
      <w:bookmarkStart w:id="4" w:name="_Toc93061313"/>
      <w:r>
        <w:rPr>
          <w:rFonts w:ascii="Times New Roman" w:hAnsi="Times New Roman" w:eastAsia="仿宋" w:cs="Times New Roman"/>
          <w:b/>
          <w:bCs/>
          <w:kern w:val="44"/>
          <w:sz w:val="32"/>
          <w:szCs w:val="44"/>
        </w:rPr>
        <w:t>有利于整体规划，</w:t>
      </w:r>
      <w:bookmarkEnd w:id="4"/>
      <w:r>
        <w:rPr>
          <w:rFonts w:ascii="Times New Roman" w:hAnsi="Times New Roman" w:eastAsia="仿宋" w:cs="Times New Roman"/>
          <w:b/>
          <w:bCs/>
          <w:kern w:val="44"/>
          <w:sz w:val="32"/>
          <w:szCs w:val="44"/>
        </w:rPr>
        <w:t>优化城市发展格局</w:t>
      </w:r>
    </w:p>
    <w:p>
      <w:pPr>
        <w:pStyle w:val="6"/>
        <w:ind w:firstLine="640"/>
        <w:rPr>
          <w:rFonts w:ascii="Times New Roman" w:hAnsi="Times New Roman" w:eastAsia="仿宋" w:cs="Times New Roman"/>
          <w:sz w:val="32"/>
          <w:szCs w:val="32"/>
        </w:rPr>
      </w:pPr>
      <w:bookmarkStart w:id="5" w:name="_Toc30318"/>
      <w:r>
        <w:rPr>
          <w:rFonts w:ascii="Times New Roman" w:hAnsi="Times New Roman" w:eastAsia="仿宋" w:cs="Times New Roman"/>
          <w:sz w:val="32"/>
          <w:szCs w:val="32"/>
        </w:rPr>
        <w:t>本成片开发方案中</w:t>
      </w:r>
      <w:r>
        <w:rPr>
          <w:rFonts w:hint="eastAsia" w:ascii="Times New Roman" w:hAnsi="Times New Roman" w:eastAsia="仿宋" w:cs="Times New Roman"/>
          <w:sz w:val="32"/>
          <w:szCs w:val="32"/>
        </w:rPr>
        <w:t>拟安排</w:t>
      </w:r>
      <w:r>
        <w:rPr>
          <w:rFonts w:ascii="Times New Roman" w:hAnsi="Times New Roman" w:eastAsia="仿宋" w:cs="Times New Roman"/>
          <w:sz w:val="32"/>
          <w:szCs w:val="32"/>
        </w:rPr>
        <w:t>项目均符合以国民经济和社会发展规划为统领，以空间规划为基础，以专项规划、区域规划为支撑的要求，其定位准确、边界清晰，功能互补、统一衔接，有助于</w:t>
      </w:r>
      <w:r>
        <w:rPr>
          <w:rFonts w:hint="eastAsia" w:ascii="Times New Roman" w:hAnsi="Times New Roman" w:eastAsia="仿宋" w:cs="Times New Roman"/>
          <w:sz w:val="32"/>
          <w:szCs w:val="32"/>
        </w:rPr>
        <w:t>金平区</w:t>
      </w:r>
      <w:r>
        <w:rPr>
          <w:rFonts w:ascii="Times New Roman" w:hAnsi="Times New Roman" w:eastAsia="仿宋" w:cs="Times New Roman"/>
          <w:sz w:val="32"/>
          <w:szCs w:val="32"/>
        </w:rPr>
        <w:t>进一步落实总体规划，实现城市高质量发展，拓展城市发展空间，完善城市功能配套，对打造汕头市“省域副中心城市”、落实汕头市委提出的“做大做强先进装备制造、现代服务业、文旅产业、现代农业等四个新兴支柱产业”要求以及构建“一轴两带两走廊多组团”发展格局有重大意义。</w:t>
      </w:r>
    </w:p>
    <w:p>
      <w:pPr>
        <w:pStyle w:val="6"/>
        <w:ind w:firstLine="640"/>
        <w:rPr>
          <w:rFonts w:ascii="Times New Roman" w:hAnsi="Times New Roman" w:eastAsia="仿宋" w:cs="Times New Roman"/>
          <w:sz w:val="32"/>
          <w:szCs w:val="32"/>
        </w:rPr>
      </w:pPr>
      <w:r>
        <w:rPr>
          <w:rFonts w:ascii="Times New Roman" w:hAnsi="Times New Roman" w:eastAsia="仿宋" w:cs="Times New Roman"/>
          <w:sz w:val="32"/>
          <w:szCs w:val="32"/>
        </w:rPr>
        <w:t>本成片开发方案将7个片区划分为主要</w:t>
      </w:r>
      <w:r>
        <w:rPr>
          <w:rFonts w:hint="eastAsia" w:ascii="Times New Roman" w:hAnsi="Times New Roman" w:eastAsia="仿宋" w:cs="Times New Roman"/>
          <w:sz w:val="32"/>
          <w:szCs w:val="32"/>
        </w:rPr>
        <w:t>五</w:t>
      </w:r>
      <w:r>
        <w:rPr>
          <w:rFonts w:ascii="Times New Roman" w:hAnsi="Times New Roman" w:eastAsia="仿宋" w:cs="Times New Roman"/>
          <w:sz w:val="32"/>
          <w:szCs w:val="32"/>
        </w:rPr>
        <w:t>大功能布局分区，包括</w:t>
      </w:r>
      <w:r>
        <w:rPr>
          <w:rFonts w:hint="eastAsia" w:ascii="Times New Roman" w:hAnsi="Times New Roman" w:eastAsia="仿宋" w:cs="Times New Roman"/>
          <w:sz w:val="32"/>
          <w:szCs w:val="32"/>
        </w:rPr>
        <w:t>现代商贸物流园区</w:t>
      </w:r>
      <w:r>
        <w:rPr>
          <w:rFonts w:ascii="Times New Roman" w:hAnsi="Times New Roman" w:eastAsia="仿宋" w:cs="Times New Roman"/>
          <w:sz w:val="32"/>
          <w:szCs w:val="32"/>
        </w:rPr>
        <w:t>、</w:t>
      </w:r>
      <w:r>
        <w:rPr>
          <w:rFonts w:hint="eastAsia" w:ascii="Times New Roman" w:hAnsi="Times New Roman" w:eastAsia="仿宋" w:cs="Times New Roman"/>
          <w:sz w:val="32"/>
          <w:szCs w:val="32"/>
        </w:rPr>
        <w:t>新能源锂电池产业园区</w:t>
      </w:r>
      <w:r>
        <w:rPr>
          <w:rFonts w:ascii="Times New Roman" w:hAnsi="Times New Roman" w:eastAsia="仿宋" w:cs="Times New Roman"/>
          <w:sz w:val="32"/>
          <w:szCs w:val="32"/>
        </w:rPr>
        <w:t>、</w:t>
      </w:r>
      <w:r>
        <w:rPr>
          <w:rFonts w:hint="eastAsia" w:ascii="Times New Roman" w:hAnsi="Times New Roman" w:eastAsia="仿宋" w:cs="Times New Roman"/>
          <w:sz w:val="32"/>
          <w:szCs w:val="32"/>
        </w:rPr>
        <w:t>新型现代工业园区</w:t>
      </w:r>
      <w:r>
        <w:rPr>
          <w:rFonts w:ascii="Times New Roman" w:hAnsi="Times New Roman" w:eastAsia="仿宋" w:cs="Times New Roman"/>
          <w:sz w:val="32"/>
          <w:szCs w:val="32"/>
        </w:rPr>
        <w:t>、</w:t>
      </w:r>
      <w:r>
        <w:rPr>
          <w:rFonts w:hint="eastAsia" w:ascii="Times New Roman" w:hAnsi="Times New Roman" w:eastAsia="仿宋" w:cs="Times New Roman"/>
          <w:sz w:val="32"/>
          <w:szCs w:val="32"/>
        </w:rPr>
        <w:t>大港河产城融合示范区和智能制造产业城</w:t>
      </w:r>
      <w:r>
        <w:rPr>
          <w:rFonts w:ascii="Times New Roman" w:hAnsi="Times New Roman" w:eastAsia="仿宋" w:cs="Times New Roman"/>
          <w:sz w:val="32"/>
          <w:szCs w:val="32"/>
        </w:rPr>
        <w:t>。其中，</w:t>
      </w:r>
      <w:r>
        <w:rPr>
          <w:rFonts w:hint="eastAsia" w:ascii="Times New Roman" w:hAnsi="Times New Roman" w:eastAsia="仿宋" w:cs="Times New Roman"/>
          <w:sz w:val="32"/>
          <w:szCs w:val="32"/>
        </w:rPr>
        <w:t>电商物流园区</w:t>
      </w:r>
      <w:r>
        <w:rPr>
          <w:rFonts w:ascii="Times New Roman" w:hAnsi="Times New Roman" w:eastAsia="仿宋" w:cs="Times New Roman"/>
          <w:sz w:val="32"/>
          <w:szCs w:val="32"/>
        </w:rPr>
        <w:t>为</w:t>
      </w:r>
      <w:r>
        <w:rPr>
          <w:rFonts w:hint="eastAsia" w:ascii="Times New Roman" w:hAnsi="Times New Roman" w:eastAsia="仿宋" w:cs="Times New Roman"/>
          <w:sz w:val="32"/>
          <w:szCs w:val="32"/>
        </w:rPr>
        <w:t>现代商贸物流园区；莲塘工业园片区</w:t>
      </w:r>
      <w:r>
        <w:rPr>
          <w:rFonts w:ascii="Times New Roman" w:hAnsi="Times New Roman" w:eastAsia="仿宋" w:cs="Times New Roman"/>
          <w:sz w:val="32"/>
          <w:szCs w:val="32"/>
        </w:rPr>
        <w:t>为</w:t>
      </w:r>
      <w:r>
        <w:rPr>
          <w:rFonts w:hint="eastAsia" w:ascii="Times New Roman" w:hAnsi="Times New Roman" w:eastAsia="仿宋" w:cs="Times New Roman"/>
          <w:sz w:val="32"/>
          <w:szCs w:val="32"/>
        </w:rPr>
        <w:t>新能源锂电池产业园区；汕头市金平区食品智慧产业园片区</w:t>
      </w:r>
      <w:r>
        <w:rPr>
          <w:rFonts w:ascii="Times New Roman" w:hAnsi="Times New Roman" w:eastAsia="仿宋" w:cs="Times New Roman"/>
          <w:sz w:val="32"/>
          <w:szCs w:val="32"/>
        </w:rPr>
        <w:t>为</w:t>
      </w:r>
      <w:r>
        <w:rPr>
          <w:rFonts w:hint="eastAsia" w:ascii="Times New Roman" w:hAnsi="Times New Roman" w:eastAsia="仿宋" w:cs="Times New Roman"/>
          <w:sz w:val="32"/>
          <w:szCs w:val="32"/>
        </w:rPr>
        <w:t>新型现代工业园区；大港河产城融合项目一期片区一、大港河产城融合项目一期片区二</w:t>
      </w:r>
      <w:r>
        <w:rPr>
          <w:rFonts w:ascii="Times New Roman" w:hAnsi="Times New Roman" w:eastAsia="仿宋" w:cs="Times New Roman"/>
          <w:sz w:val="32"/>
          <w:szCs w:val="32"/>
        </w:rPr>
        <w:t>为</w:t>
      </w:r>
      <w:r>
        <w:rPr>
          <w:rFonts w:hint="eastAsia" w:ascii="Times New Roman" w:hAnsi="Times New Roman" w:eastAsia="仿宋" w:cs="Times New Roman"/>
          <w:sz w:val="32"/>
          <w:szCs w:val="32"/>
        </w:rPr>
        <w:t>大港河产城融合示范区；金平工业园区现代产业集聚区西片区一、金平工业园区现代产业集聚区西片区二为智能制造产业城</w:t>
      </w:r>
      <w:r>
        <w:rPr>
          <w:rFonts w:ascii="Times New Roman" w:hAnsi="Times New Roman" w:eastAsia="仿宋" w:cs="Times New Roman"/>
          <w:sz w:val="32"/>
          <w:szCs w:val="32"/>
        </w:rPr>
        <w:t>。本成片开发方案的实施，将</w:t>
      </w:r>
      <w:r>
        <w:rPr>
          <w:rFonts w:hint="eastAsia" w:ascii="Times New Roman" w:hAnsi="Times New Roman" w:eastAsia="仿宋" w:cs="Times New Roman"/>
          <w:sz w:val="32"/>
          <w:szCs w:val="32"/>
        </w:rPr>
        <w:t>推动东牛田洋产城融合示范区在土地开发、</w:t>
      </w:r>
      <w:r>
        <w:rPr>
          <w:rFonts w:ascii="Times New Roman" w:hAnsi="Times New Roman" w:eastAsia="仿宋" w:cs="Times New Roman"/>
          <w:sz w:val="32"/>
          <w:szCs w:val="32"/>
        </w:rPr>
        <w:t>政企合作</w:t>
      </w:r>
      <w:r>
        <w:rPr>
          <w:rFonts w:hint="eastAsia" w:ascii="Times New Roman" w:hAnsi="Times New Roman" w:eastAsia="仿宋" w:cs="Times New Roman"/>
          <w:sz w:val="32"/>
          <w:szCs w:val="32"/>
        </w:rPr>
        <w:t>、项目引进</w:t>
      </w:r>
      <w:r>
        <w:rPr>
          <w:rFonts w:ascii="Times New Roman" w:hAnsi="Times New Roman" w:eastAsia="仿宋" w:cs="Times New Roman"/>
          <w:sz w:val="32"/>
          <w:szCs w:val="32"/>
        </w:rPr>
        <w:t>等方面取得突破，提升综合开发与运营管理水平，着力打造产城融合</w:t>
      </w:r>
      <w:r>
        <w:rPr>
          <w:rFonts w:hint="eastAsia" w:ascii="Times New Roman" w:hAnsi="Times New Roman" w:eastAsia="仿宋" w:cs="Times New Roman"/>
          <w:sz w:val="32"/>
          <w:szCs w:val="32"/>
        </w:rPr>
        <w:t>示范区核心区</w:t>
      </w:r>
      <w:r>
        <w:rPr>
          <w:rFonts w:ascii="Times New Roman" w:hAnsi="Times New Roman" w:eastAsia="仿宋" w:cs="Times New Roman"/>
          <w:sz w:val="32"/>
          <w:szCs w:val="32"/>
        </w:rPr>
        <w:t>。加快现代商贸物流区冷链配送、仓储物流、跨境电商等项目落地及建设，提升产业带动力辐射力。</w:t>
      </w:r>
      <w:r>
        <w:rPr>
          <w:rFonts w:hint="eastAsia" w:ascii="Times New Roman" w:hAnsi="Times New Roman" w:eastAsia="仿宋" w:cs="Times New Roman"/>
          <w:sz w:val="32"/>
          <w:szCs w:val="32"/>
        </w:rPr>
        <w:t>加快</w:t>
      </w:r>
      <w:r>
        <w:rPr>
          <w:rFonts w:ascii="Times New Roman" w:hAnsi="Times New Roman" w:eastAsia="仿宋" w:cs="Times New Roman"/>
          <w:sz w:val="32"/>
          <w:szCs w:val="32"/>
        </w:rPr>
        <w:t>先进制造业集聚区园区基础设施</w:t>
      </w:r>
      <w:r>
        <w:rPr>
          <w:rFonts w:hint="eastAsia" w:ascii="Times New Roman" w:hAnsi="Times New Roman" w:eastAsia="仿宋" w:cs="Times New Roman"/>
          <w:sz w:val="32"/>
          <w:szCs w:val="32"/>
        </w:rPr>
        <w:t>配套建设</w:t>
      </w:r>
      <w:r>
        <w:rPr>
          <w:rFonts w:ascii="Times New Roman" w:hAnsi="Times New Roman" w:eastAsia="仿宋" w:cs="Times New Roman"/>
          <w:sz w:val="32"/>
          <w:szCs w:val="32"/>
        </w:rPr>
        <w:t>，以轻工装备</w:t>
      </w:r>
      <w:r>
        <w:rPr>
          <w:rFonts w:hint="eastAsia" w:ascii="Times New Roman" w:hAnsi="Times New Roman" w:eastAsia="仿宋" w:cs="Times New Roman"/>
          <w:sz w:val="32"/>
          <w:szCs w:val="32"/>
        </w:rPr>
        <w:t>、生物医药</w:t>
      </w:r>
      <w:r>
        <w:rPr>
          <w:rFonts w:ascii="Times New Roman" w:hAnsi="Times New Roman" w:eastAsia="仿宋" w:cs="Times New Roman"/>
          <w:sz w:val="32"/>
          <w:szCs w:val="32"/>
        </w:rPr>
        <w:t>等优势产业为发展重点，按照全产业链布局，推动</w:t>
      </w:r>
      <w:r>
        <w:rPr>
          <w:rFonts w:hint="eastAsia" w:ascii="Times New Roman" w:hAnsi="Times New Roman" w:eastAsia="仿宋" w:cs="Times New Roman"/>
          <w:sz w:val="32"/>
          <w:szCs w:val="32"/>
        </w:rPr>
        <w:t>高端</w:t>
      </w:r>
      <w:r>
        <w:rPr>
          <w:rFonts w:ascii="Times New Roman" w:hAnsi="Times New Roman" w:eastAsia="仿宋" w:cs="Times New Roman"/>
          <w:sz w:val="32"/>
          <w:szCs w:val="32"/>
        </w:rPr>
        <w:t>装备制造</w:t>
      </w:r>
      <w:r>
        <w:rPr>
          <w:rFonts w:hint="eastAsia" w:ascii="Times New Roman" w:hAnsi="Times New Roman" w:eastAsia="仿宋" w:cs="Times New Roman"/>
          <w:sz w:val="32"/>
          <w:szCs w:val="32"/>
        </w:rPr>
        <w:t>、大健康</w:t>
      </w:r>
      <w:r>
        <w:rPr>
          <w:rFonts w:ascii="Times New Roman" w:hAnsi="Times New Roman" w:eastAsia="仿宋" w:cs="Times New Roman"/>
          <w:sz w:val="32"/>
          <w:szCs w:val="32"/>
        </w:rPr>
        <w:t>等产业链上下游企业进驻，着力打造特色产业发展高地。</w:t>
      </w:r>
    </w:p>
    <w:p>
      <w:pPr>
        <w:pStyle w:val="6"/>
        <w:spacing w:line="700" w:lineRule="exact"/>
        <w:ind w:firstLine="643"/>
        <w:rPr>
          <w:rFonts w:ascii="Times New Roman" w:hAnsi="Times New Roman" w:eastAsia="仿宋" w:cs="Times New Roman"/>
          <w:b/>
          <w:bCs/>
          <w:kern w:val="44"/>
          <w:sz w:val="32"/>
          <w:szCs w:val="44"/>
        </w:rPr>
      </w:pPr>
      <w:r>
        <w:rPr>
          <w:rFonts w:ascii="Times New Roman" w:hAnsi="Times New Roman" w:eastAsia="仿宋" w:cs="Times New Roman"/>
          <w:b/>
          <w:bCs/>
          <w:kern w:val="44"/>
          <w:sz w:val="32"/>
          <w:szCs w:val="44"/>
        </w:rPr>
        <w:t>（</w:t>
      </w:r>
      <w:r>
        <w:rPr>
          <w:rFonts w:hint="eastAsia" w:ascii="Times New Roman" w:hAnsi="Times New Roman" w:eastAsia="仿宋" w:cs="Times New Roman"/>
          <w:b/>
          <w:bCs/>
          <w:kern w:val="44"/>
          <w:sz w:val="32"/>
          <w:szCs w:val="44"/>
        </w:rPr>
        <w:t>四</w:t>
      </w:r>
      <w:r>
        <w:rPr>
          <w:rFonts w:ascii="Times New Roman" w:hAnsi="Times New Roman" w:eastAsia="仿宋" w:cs="Times New Roman"/>
          <w:b/>
          <w:bCs/>
          <w:kern w:val="44"/>
          <w:sz w:val="32"/>
          <w:szCs w:val="44"/>
        </w:rPr>
        <w:t>）保障重点项目落地，推动片区发展</w:t>
      </w:r>
      <w:bookmarkEnd w:id="5"/>
    </w:p>
    <w:p>
      <w:pPr>
        <w:pStyle w:val="6"/>
        <w:ind w:firstLine="640"/>
        <w:rPr>
          <w:rFonts w:ascii="Times New Roman" w:hAnsi="Times New Roman" w:eastAsia="仿宋" w:cs="Times New Roman"/>
          <w:sz w:val="32"/>
          <w:szCs w:val="32"/>
        </w:rPr>
      </w:pPr>
      <w:r>
        <w:rPr>
          <w:rFonts w:ascii="Times New Roman" w:hAnsi="Times New Roman" w:eastAsia="仿宋" w:cs="Times New Roman"/>
          <w:sz w:val="32"/>
          <w:szCs w:val="32"/>
        </w:rPr>
        <w:t>本成片开发方案的实施，为</w:t>
      </w:r>
      <w:r>
        <w:rPr>
          <w:rFonts w:hint="eastAsia" w:ascii="Times New Roman" w:hAnsi="Times New Roman" w:eastAsia="仿宋" w:cs="Times New Roman"/>
          <w:sz w:val="32"/>
          <w:szCs w:val="32"/>
        </w:rPr>
        <w:t>金平区</w:t>
      </w:r>
      <w:r>
        <w:rPr>
          <w:rFonts w:ascii="Times New Roman" w:hAnsi="Times New Roman" w:eastAsia="仿宋" w:cs="Times New Roman"/>
          <w:sz w:val="32"/>
          <w:szCs w:val="32"/>
        </w:rPr>
        <w:t>的发展预留充足空间</w:t>
      </w:r>
      <w:r>
        <w:rPr>
          <w:rFonts w:hint="eastAsia" w:ascii="Times New Roman" w:hAnsi="Times New Roman" w:eastAsia="仿宋" w:cs="Times New Roman"/>
          <w:sz w:val="32"/>
          <w:szCs w:val="32"/>
        </w:rPr>
        <w:t>。金平区将大力开展招商引资工作，聚焦重点产业、重点园区开展精准招商，积极引进高端产业、</w:t>
      </w:r>
      <w:r>
        <w:rPr>
          <w:rFonts w:ascii="Times New Roman" w:hAnsi="Times New Roman" w:eastAsia="仿宋" w:cs="Times New Roman"/>
          <w:sz w:val="32"/>
          <w:szCs w:val="32"/>
        </w:rPr>
        <w:t>大型项目落户。</w:t>
      </w:r>
      <w:r>
        <w:rPr>
          <w:rFonts w:hint="eastAsia" w:ascii="Times New Roman" w:hAnsi="Times New Roman" w:eastAsia="仿宋" w:cs="Times New Roman"/>
          <w:sz w:val="32"/>
          <w:szCs w:val="32"/>
        </w:rPr>
        <w:t>实施中小企业“专精特新”培育计划，加快培育一批行业“单项冠军”和“隐形冠军”。</w:t>
      </w:r>
      <w:r>
        <w:rPr>
          <w:rFonts w:ascii="Times New Roman" w:hAnsi="Times New Roman" w:eastAsia="仿宋" w:cs="Times New Roman"/>
          <w:sz w:val="32"/>
          <w:szCs w:val="32"/>
        </w:rPr>
        <w:t>成片开发范围内拟打造</w:t>
      </w:r>
      <w:r>
        <w:rPr>
          <w:rFonts w:hint="eastAsia" w:ascii="Times New Roman" w:hAnsi="Times New Roman" w:eastAsia="仿宋" w:cs="Times New Roman"/>
          <w:sz w:val="32"/>
          <w:szCs w:val="32"/>
        </w:rPr>
        <w:t>现代商贸物流园区、新能源锂电池产业园区、新型现代工业园区、大港河产城融合示范区和智能制造产业城，</w:t>
      </w:r>
      <w:r>
        <w:rPr>
          <w:rFonts w:ascii="Times New Roman" w:hAnsi="Times New Roman" w:eastAsia="仿宋" w:cs="Times New Roman"/>
          <w:sz w:val="32"/>
          <w:szCs w:val="32"/>
        </w:rPr>
        <w:t>保障</w:t>
      </w:r>
      <w:r>
        <w:rPr>
          <w:rFonts w:hint="eastAsia" w:ascii="Times New Roman" w:hAnsi="Times New Roman" w:eastAsia="仿宋" w:cs="Times New Roman"/>
          <w:sz w:val="32"/>
          <w:szCs w:val="32"/>
        </w:rPr>
        <w:t>金平区</w:t>
      </w:r>
      <w:r>
        <w:rPr>
          <w:rFonts w:ascii="Times New Roman" w:hAnsi="Times New Roman" w:eastAsia="仿宋" w:cs="Times New Roman"/>
          <w:sz w:val="32"/>
          <w:szCs w:val="32"/>
        </w:rPr>
        <w:t>重点项目的落地需求，因此亟需编制成片开发方案，集中力量推进重点建设项目提速增效，依据国土空间规划部署和产业发展需要，全力推进产业片区建设</w:t>
      </w:r>
      <w:r>
        <w:rPr>
          <w:rFonts w:hint="eastAsia" w:ascii="Times New Roman" w:hAnsi="Times New Roman" w:eastAsia="仿宋" w:cs="Times New Roman"/>
          <w:sz w:val="32"/>
          <w:szCs w:val="32"/>
        </w:rPr>
        <w:t>和</w:t>
      </w:r>
      <w:r>
        <w:rPr>
          <w:rFonts w:ascii="Times New Roman" w:hAnsi="Times New Roman" w:eastAsia="仿宋" w:cs="Times New Roman"/>
          <w:sz w:val="32"/>
          <w:szCs w:val="32"/>
        </w:rPr>
        <w:t>发展。</w:t>
      </w:r>
    </w:p>
    <w:p>
      <w:pPr>
        <w:pStyle w:val="6"/>
        <w:ind w:firstLine="640"/>
        <w:rPr>
          <w:rFonts w:ascii="Times New Roman" w:hAnsi="Times New Roman" w:eastAsia="仿宋" w:cs="Times New Roman"/>
          <w:sz w:val="32"/>
          <w:szCs w:val="32"/>
        </w:rPr>
      </w:pPr>
      <w:r>
        <w:rPr>
          <w:rFonts w:hint="eastAsia" w:ascii="Times New Roman" w:hAnsi="Times New Roman" w:eastAsia="仿宋" w:cs="Times New Roman"/>
          <w:sz w:val="32"/>
          <w:szCs w:val="32"/>
        </w:rPr>
        <w:t>电商物流园区充分发挥靠近潮汕环线高速公路以及毗邻机场、高铁的交通区位优势，发展以电商快递、冷链仓储、冷链运输服务等为主导产业，以商贸、仓储、展览等关联产业相配套，以各类电商快递中心、批发交易市场为主的商贸流通产业协调发展的现代产业体系，建设辐射粤东的大型综合物流园区。结合潮汕环线高速口以及沿粤东城际铁路、金凤西路、大学路这三条城市发展轴，发展商贸、仓储、展览等关联企业，形成一个综合物流片区，更新改造福岛社区和新辽社区，完善配套，打造产城融合示范区，形成两个生态居住片区。构建网络化、生态化的绿地开敞空间系统，形成“一轴三带”的空间规划结构。</w:t>
      </w:r>
    </w:p>
    <w:p>
      <w:pPr>
        <w:pStyle w:val="6"/>
        <w:ind w:firstLine="640"/>
        <w:rPr>
          <w:rFonts w:ascii="Times New Roman" w:hAnsi="Times New Roman" w:eastAsia="仿宋" w:cs="Times New Roman"/>
          <w:sz w:val="32"/>
          <w:szCs w:val="32"/>
        </w:rPr>
      </w:pPr>
      <w:r>
        <w:rPr>
          <w:rFonts w:hint="eastAsia" w:ascii="Times New Roman" w:hAnsi="Times New Roman" w:eastAsia="仿宋" w:cs="Times New Roman"/>
          <w:sz w:val="32"/>
          <w:szCs w:val="32"/>
        </w:rPr>
        <w:t>莲塘工业园区片区充分发挥莲塘工业园的区位优势、资源优势，通过产业结构调整，引进生物制药、新材料等高新技术产业，引导园区向技术型、高新化方向发展，建设以生物医药、新材料等高新技术产业为主导的汕头西部新型现代化特色工业园区。目前，莲塘工业园区片区已入驻企业9家，分别为广东光华科技股份有限公司、汕头市华美塑料模具实业有限公司，汕头市雅仕达包装材料有限公司、汕头市骏晟钢结构有限公司、汕头樱之洁日用制品有限公司、汕头市雅威机电实业有限公司、汕头市粤升石材实业有限公司、汕头经济特区澳士兰牧场有限公司乳品加工厂和汕头市莲塘化工厂有限公司，2</w:t>
      </w:r>
      <w:r>
        <w:rPr>
          <w:rFonts w:ascii="Times New Roman" w:hAnsi="Times New Roman" w:eastAsia="仿宋" w:cs="Times New Roman"/>
          <w:sz w:val="32"/>
          <w:szCs w:val="32"/>
        </w:rPr>
        <w:t>021</w:t>
      </w:r>
      <w:r>
        <w:rPr>
          <w:rFonts w:hint="eastAsia" w:ascii="Times New Roman" w:hAnsi="Times New Roman" w:eastAsia="仿宋" w:cs="Times New Roman"/>
          <w:sz w:val="32"/>
          <w:szCs w:val="32"/>
        </w:rPr>
        <w:t>年莲塘工业园区工业产值达2</w:t>
      </w:r>
      <w:r>
        <w:rPr>
          <w:rFonts w:ascii="Times New Roman" w:hAnsi="Times New Roman" w:eastAsia="仿宋" w:cs="Times New Roman"/>
          <w:sz w:val="32"/>
          <w:szCs w:val="32"/>
        </w:rPr>
        <w:t>3.7</w:t>
      </w:r>
      <w:r>
        <w:rPr>
          <w:rFonts w:hint="eastAsia" w:ascii="Times New Roman" w:hAnsi="Times New Roman" w:eastAsia="仿宋" w:cs="Times New Roman"/>
          <w:sz w:val="32"/>
          <w:szCs w:val="32"/>
        </w:rPr>
        <w:t>亿元。</w:t>
      </w:r>
    </w:p>
    <w:p>
      <w:pPr>
        <w:pStyle w:val="6"/>
        <w:ind w:firstLine="640"/>
        <w:rPr>
          <w:rFonts w:ascii="Times New Roman" w:hAnsi="Times New Roman" w:eastAsia="仿宋" w:cs="Times New Roman"/>
          <w:sz w:val="32"/>
          <w:szCs w:val="32"/>
        </w:rPr>
      </w:pPr>
      <w:r>
        <w:rPr>
          <w:rFonts w:hint="eastAsia" w:ascii="Times New Roman" w:hAnsi="Times New Roman" w:eastAsia="仿宋" w:cs="Times New Roman"/>
          <w:sz w:val="32"/>
          <w:szCs w:val="32"/>
        </w:rPr>
        <w:t>汕头市金平区食品智慧产业园片区规划以装备制造、印刷包装、食品、新材料等高新技术产业和高端物流产业为主导，引导园区向技术型、高新化方向发展，提倡高资金密集度和高技术密集度，构建汕头北部新型现代化特色工业园区。</w:t>
      </w:r>
    </w:p>
    <w:p>
      <w:pPr>
        <w:pStyle w:val="6"/>
        <w:ind w:firstLine="640"/>
        <w:rPr>
          <w:rFonts w:ascii="Times New Roman" w:hAnsi="Times New Roman" w:eastAsia="仿宋" w:cs="Times New Roman"/>
          <w:sz w:val="32"/>
          <w:szCs w:val="32"/>
        </w:rPr>
      </w:pPr>
      <w:r>
        <w:rPr>
          <w:rFonts w:hint="eastAsia" w:ascii="Times New Roman" w:hAnsi="Times New Roman" w:eastAsia="仿宋" w:cs="Times New Roman"/>
          <w:sz w:val="32"/>
          <w:szCs w:val="32"/>
        </w:rPr>
        <w:t>大港河产城融合项目一期片区一、大港河产城融合项目一期片区二利用接近汕头主城区和中以（汕头）科技创新合作区的优势，依托规划汕揭城际轨道和牛田洋快速通道，大力提升社区居住环境和公共服务设施配套，融合大众创新、现代商业商务等多种产业，打造成为服务完善、环境品质优良的产城融合发展先行示范区，形成“两廊、两轴、七组团”的空间结构。该片区内目前龙腾水岸花园和新宸湾项目正在启动建设，龙腾水岸花园位于牛田洋东片鮀浦路和夏趾路交界处（大港河旁），用地面积4</w:t>
      </w:r>
      <w:r>
        <w:rPr>
          <w:rFonts w:ascii="Times New Roman" w:hAnsi="Times New Roman" w:eastAsia="仿宋" w:cs="Times New Roman"/>
          <w:sz w:val="32"/>
          <w:szCs w:val="32"/>
        </w:rPr>
        <w:t>3176.01m²</w:t>
      </w:r>
      <w:r>
        <w:rPr>
          <w:rFonts w:hint="eastAsia" w:ascii="Times New Roman" w:hAnsi="Times New Roman" w:eastAsia="仿宋" w:cs="Times New Roman"/>
          <w:sz w:val="32"/>
          <w:szCs w:val="32"/>
        </w:rPr>
        <w:t>（折合约6</w:t>
      </w:r>
      <w:r>
        <w:rPr>
          <w:rFonts w:ascii="Times New Roman" w:hAnsi="Times New Roman" w:eastAsia="仿宋" w:cs="Times New Roman"/>
          <w:sz w:val="32"/>
          <w:szCs w:val="32"/>
        </w:rPr>
        <w:t>4.8</w:t>
      </w:r>
      <w:r>
        <w:rPr>
          <w:rFonts w:hint="eastAsia" w:ascii="Times New Roman" w:hAnsi="Times New Roman" w:eastAsia="仿宋" w:cs="Times New Roman"/>
          <w:sz w:val="32"/>
          <w:szCs w:val="32"/>
        </w:rPr>
        <w:t>亩），规划容积率≤3</w:t>
      </w:r>
      <w:r>
        <w:rPr>
          <w:rFonts w:ascii="Times New Roman" w:hAnsi="Times New Roman" w:eastAsia="仿宋" w:cs="Times New Roman"/>
          <w:sz w:val="32"/>
          <w:szCs w:val="32"/>
        </w:rPr>
        <w:t>.0</w:t>
      </w:r>
      <w:r>
        <w:rPr>
          <w:rFonts w:hint="eastAsia" w:ascii="Times New Roman" w:hAnsi="Times New Roman" w:eastAsia="仿宋" w:cs="Times New Roman"/>
          <w:sz w:val="32"/>
          <w:szCs w:val="32"/>
        </w:rPr>
        <w:t>，建筑密度≤</w:t>
      </w:r>
      <w:r>
        <w:rPr>
          <w:rFonts w:ascii="Times New Roman" w:hAnsi="Times New Roman" w:eastAsia="仿宋" w:cs="Times New Roman"/>
          <w:sz w:val="32"/>
          <w:szCs w:val="32"/>
        </w:rPr>
        <w:t>25</w:t>
      </w:r>
      <w:r>
        <w:rPr>
          <w:rFonts w:hint="eastAsia" w:ascii="Times New Roman" w:hAnsi="Times New Roman" w:eastAsia="仿宋" w:cs="Times New Roman"/>
          <w:sz w:val="32"/>
          <w:szCs w:val="32"/>
        </w:rPr>
        <w:t>%，绿地率≥3</w:t>
      </w:r>
      <w:r>
        <w:rPr>
          <w:rFonts w:ascii="Times New Roman" w:hAnsi="Times New Roman" w:eastAsia="仿宋" w:cs="Times New Roman"/>
          <w:sz w:val="32"/>
          <w:szCs w:val="32"/>
        </w:rPr>
        <w:t>5</w:t>
      </w:r>
      <w:r>
        <w:rPr>
          <w:rFonts w:hint="eastAsia" w:ascii="Times New Roman" w:hAnsi="Times New Roman" w:eastAsia="仿宋" w:cs="Times New Roman"/>
          <w:sz w:val="32"/>
          <w:szCs w:val="32"/>
        </w:rPr>
        <w:t>%，限高≤</w:t>
      </w:r>
      <w:r>
        <w:rPr>
          <w:rFonts w:ascii="Times New Roman" w:hAnsi="Times New Roman" w:eastAsia="仿宋" w:cs="Times New Roman"/>
          <w:sz w:val="32"/>
          <w:szCs w:val="32"/>
        </w:rPr>
        <w:t>60</w:t>
      </w:r>
      <w:r>
        <w:rPr>
          <w:rFonts w:hint="eastAsia" w:ascii="Times New Roman" w:hAnsi="Times New Roman" w:eastAsia="仿宋" w:cs="Times New Roman"/>
          <w:sz w:val="32"/>
          <w:szCs w:val="32"/>
        </w:rPr>
        <w:t>米，推出5</w:t>
      </w:r>
      <w:r>
        <w:rPr>
          <w:rFonts w:ascii="Times New Roman" w:hAnsi="Times New Roman" w:eastAsia="仿宋" w:cs="Times New Roman"/>
          <w:sz w:val="32"/>
          <w:szCs w:val="32"/>
        </w:rPr>
        <w:t>8</w:t>
      </w:r>
      <w:r>
        <w:rPr>
          <w:rFonts w:hint="eastAsia" w:ascii="Times New Roman" w:hAnsi="Times New Roman" w:eastAsia="仿宋" w:cs="Times New Roman"/>
          <w:sz w:val="32"/>
          <w:szCs w:val="32"/>
        </w:rPr>
        <w:t>-</w:t>
      </w:r>
      <w:r>
        <w:rPr>
          <w:rFonts w:ascii="Times New Roman" w:hAnsi="Times New Roman" w:eastAsia="仿宋" w:cs="Times New Roman"/>
          <w:sz w:val="32"/>
          <w:szCs w:val="32"/>
        </w:rPr>
        <w:t>128</w:t>
      </w:r>
      <w:r>
        <w:rPr>
          <w:rFonts w:hint="eastAsia" w:ascii="Times New Roman" w:hAnsi="Times New Roman" w:eastAsia="仿宋" w:cs="Times New Roman"/>
          <w:sz w:val="32"/>
          <w:szCs w:val="32"/>
        </w:rPr>
        <w:t xml:space="preserve"> m</w:t>
      </w:r>
      <w:r>
        <w:rPr>
          <w:rFonts w:ascii="Times New Roman" w:hAnsi="Times New Roman" w:eastAsia="仿宋" w:cs="Times New Roman"/>
          <w:sz w:val="32"/>
          <w:szCs w:val="32"/>
        </w:rPr>
        <w:t>²</w:t>
      </w:r>
      <w:r>
        <w:rPr>
          <w:rFonts w:hint="eastAsia" w:ascii="Times New Roman" w:hAnsi="Times New Roman" w:eastAsia="仿宋" w:cs="Times New Roman"/>
          <w:sz w:val="32"/>
          <w:szCs w:val="32"/>
        </w:rPr>
        <w:t>河景小高层房源。新宸湾位于牛田洋片区鮀园路与望德路交界处，占地2</w:t>
      </w:r>
      <w:r>
        <w:rPr>
          <w:rFonts w:ascii="Times New Roman" w:hAnsi="Times New Roman" w:eastAsia="仿宋" w:cs="Times New Roman"/>
          <w:sz w:val="32"/>
          <w:szCs w:val="32"/>
        </w:rPr>
        <w:t>7723.68</w:t>
      </w:r>
      <w:r>
        <w:rPr>
          <w:rFonts w:hint="eastAsia" w:ascii="Times New Roman" w:hAnsi="Times New Roman" w:eastAsia="仿宋" w:cs="Times New Roman"/>
          <w:sz w:val="32"/>
          <w:szCs w:val="32"/>
        </w:rPr>
        <w:t xml:space="preserve"> m</w:t>
      </w:r>
      <w:r>
        <w:rPr>
          <w:rFonts w:ascii="Times New Roman" w:hAnsi="Times New Roman" w:eastAsia="仿宋" w:cs="Times New Roman"/>
          <w:sz w:val="32"/>
          <w:szCs w:val="32"/>
        </w:rPr>
        <w:t>²</w:t>
      </w:r>
      <w:r>
        <w:rPr>
          <w:rFonts w:hint="eastAsia" w:ascii="Times New Roman" w:hAnsi="Times New Roman" w:eastAsia="仿宋" w:cs="Times New Roman"/>
          <w:sz w:val="32"/>
          <w:szCs w:val="32"/>
        </w:rPr>
        <w:t>，总建筑面积约1</w:t>
      </w:r>
      <w:r>
        <w:rPr>
          <w:rFonts w:ascii="Times New Roman" w:hAnsi="Times New Roman" w:eastAsia="仿宋" w:cs="Times New Roman"/>
          <w:sz w:val="32"/>
          <w:szCs w:val="32"/>
        </w:rPr>
        <w:t>25624.8</w:t>
      </w:r>
      <w:r>
        <w:rPr>
          <w:rFonts w:hint="eastAsia" w:ascii="Times New Roman" w:hAnsi="Times New Roman" w:eastAsia="仿宋" w:cs="Times New Roman"/>
          <w:sz w:val="32"/>
          <w:szCs w:val="32"/>
        </w:rPr>
        <w:t xml:space="preserve"> m</w:t>
      </w:r>
      <w:r>
        <w:rPr>
          <w:rFonts w:ascii="Times New Roman" w:hAnsi="Times New Roman" w:eastAsia="仿宋" w:cs="Times New Roman"/>
          <w:sz w:val="32"/>
          <w:szCs w:val="32"/>
        </w:rPr>
        <w:t>²</w:t>
      </w:r>
      <w:r>
        <w:rPr>
          <w:rFonts w:hint="eastAsia" w:ascii="Times New Roman" w:hAnsi="Times New Roman" w:eastAsia="仿宋" w:cs="Times New Roman"/>
          <w:sz w:val="32"/>
          <w:szCs w:val="32"/>
        </w:rPr>
        <w:t>，其中计容面积</w:t>
      </w:r>
      <w:r>
        <w:rPr>
          <w:rFonts w:ascii="Times New Roman" w:hAnsi="Times New Roman" w:eastAsia="仿宋" w:cs="Times New Roman"/>
          <w:sz w:val="32"/>
          <w:szCs w:val="32"/>
        </w:rPr>
        <w:t>97032.8</w:t>
      </w:r>
      <w:r>
        <w:rPr>
          <w:rFonts w:hint="eastAsia" w:ascii="Times New Roman" w:hAnsi="Times New Roman" w:eastAsia="仿宋" w:cs="Times New Roman"/>
          <w:sz w:val="32"/>
          <w:szCs w:val="32"/>
        </w:rPr>
        <w:t xml:space="preserve"> m</w:t>
      </w:r>
      <w:r>
        <w:rPr>
          <w:rFonts w:ascii="Times New Roman" w:hAnsi="Times New Roman" w:eastAsia="仿宋" w:cs="Times New Roman"/>
          <w:sz w:val="32"/>
          <w:szCs w:val="32"/>
        </w:rPr>
        <w:t>²</w:t>
      </w:r>
      <w:r>
        <w:rPr>
          <w:rFonts w:hint="eastAsia" w:ascii="Times New Roman" w:hAnsi="Times New Roman" w:eastAsia="仿宋" w:cs="Times New Roman"/>
          <w:sz w:val="32"/>
          <w:szCs w:val="32"/>
        </w:rPr>
        <w:t>，建设7栋高层住宅及部分商品，住宅层数2</w:t>
      </w:r>
      <w:r>
        <w:rPr>
          <w:rFonts w:ascii="Times New Roman" w:hAnsi="Times New Roman" w:eastAsia="仿宋" w:cs="Times New Roman"/>
          <w:sz w:val="32"/>
          <w:szCs w:val="32"/>
        </w:rPr>
        <w:t>3</w:t>
      </w:r>
      <w:r>
        <w:rPr>
          <w:rFonts w:hint="eastAsia" w:ascii="Times New Roman" w:hAnsi="Times New Roman" w:eastAsia="仿宋" w:cs="Times New Roman"/>
          <w:sz w:val="32"/>
          <w:szCs w:val="32"/>
        </w:rPr>
        <w:t>-</w:t>
      </w:r>
      <w:r>
        <w:rPr>
          <w:rFonts w:ascii="Times New Roman" w:hAnsi="Times New Roman" w:eastAsia="仿宋" w:cs="Times New Roman"/>
          <w:sz w:val="32"/>
          <w:szCs w:val="32"/>
        </w:rPr>
        <w:t>25</w:t>
      </w:r>
      <w:r>
        <w:rPr>
          <w:rFonts w:hint="eastAsia" w:ascii="Times New Roman" w:hAnsi="Times New Roman" w:eastAsia="仿宋" w:cs="Times New Roman"/>
          <w:sz w:val="32"/>
          <w:szCs w:val="32"/>
        </w:rPr>
        <w:t>层。计划投资9亿元，已于2</w:t>
      </w:r>
      <w:r>
        <w:rPr>
          <w:rFonts w:ascii="Times New Roman" w:hAnsi="Times New Roman" w:eastAsia="仿宋" w:cs="Times New Roman"/>
          <w:sz w:val="32"/>
          <w:szCs w:val="32"/>
        </w:rPr>
        <w:t>021</w:t>
      </w:r>
      <w:r>
        <w:rPr>
          <w:rFonts w:hint="eastAsia" w:ascii="Times New Roman" w:hAnsi="Times New Roman" w:eastAsia="仿宋" w:cs="Times New Roman"/>
          <w:sz w:val="32"/>
          <w:szCs w:val="32"/>
        </w:rPr>
        <w:t>年4月份启动建设。</w:t>
      </w:r>
    </w:p>
    <w:p>
      <w:pPr>
        <w:pStyle w:val="6"/>
        <w:ind w:firstLine="640"/>
        <w:rPr>
          <w:rFonts w:ascii="Times New Roman" w:hAnsi="Times New Roman" w:eastAsia="仿宋" w:cs="Times New Roman"/>
          <w:sz w:val="32"/>
          <w:szCs w:val="32"/>
        </w:rPr>
      </w:pPr>
      <w:r>
        <w:rPr>
          <w:rFonts w:hint="eastAsia" w:ascii="Times New Roman" w:hAnsi="Times New Roman" w:eastAsia="仿宋" w:cs="Times New Roman"/>
          <w:sz w:val="32"/>
          <w:szCs w:val="32"/>
        </w:rPr>
        <w:t>金平工业园区现代产业集聚区西片区一、金平工业园区现代产业集聚区西片区二以 “产城融合、智造升级”为规划理念，在金平区原有轻工装备、包装印刷、食品工业、生物医药四大传统制造产业的基础上，利用汕头大学和广东以色列理工学院的科研优势，引导中以合作区产业向园区拓展，引进国际先进技术，集聚高科技、高智慧，打造金平产业发展新平台。</w:t>
      </w:r>
    </w:p>
    <w:p>
      <w:pPr>
        <w:pStyle w:val="6"/>
        <w:spacing w:line="700" w:lineRule="exact"/>
        <w:ind w:firstLine="643"/>
        <w:rPr>
          <w:rFonts w:ascii="Times New Roman" w:hAnsi="Times New Roman" w:eastAsia="仿宋" w:cs="Times New Roman"/>
          <w:b/>
          <w:bCs/>
          <w:kern w:val="44"/>
          <w:sz w:val="32"/>
          <w:szCs w:val="44"/>
        </w:rPr>
      </w:pPr>
      <w:r>
        <w:rPr>
          <w:rFonts w:ascii="Times New Roman" w:hAnsi="Times New Roman" w:eastAsia="仿宋" w:cs="Times New Roman"/>
          <w:b/>
          <w:bCs/>
          <w:kern w:val="44"/>
          <w:sz w:val="32"/>
          <w:szCs w:val="44"/>
        </w:rPr>
        <w:t>（</w:t>
      </w:r>
      <w:r>
        <w:rPr>
          <w:rFonts w:hint="eastAsia" w:ascii="Times New Roman" w:hAnsi="Times New Roman" w:eastAsia="仿宋" w:cs="Times New Roman"/>
          <w:b/>
          <w:bCs/>
          <w:kern w:val="44"/>
          <w:sz w:val="32"/>
          <w:szCs w:val="44"/>
        </w:rPr>
        <w:t>五</w:t>
      </w:r>
      <w:r>
        <w:rPr>
          <w:rFonts w:ascii="Times New Roman" w:hAnsi="Times New Roman" w:eastAsia="仿宋" w:cs="Times New Roman"/>
          <w:b/>
          <w:bCs/>
          <w:kern w:val="44"/>
          <w:sz w:val="32"/>
          <w:szCs w:val="44"/>
        </w:rPr>
        <w:t>）有助于提升城市面貌，</w:t>
      </w:r>
      <w:r>
        <w:rPr>
          <w:rFonts w:hint="eastAsia" w:ascii="Times New Roman" w:hAnsi="Times New Roman" w:eastAsia="仿宋" w:cs="Times New Roman"/>
          <w:b/>
          <w:bCs/>
          <w:kern w:val="44"/>
          <w:sz w:val="32"/>
          <w:szCs w:val="44"/>
        </w:rPr>
        <w:t>开创高质量发展新局面</w:t>
      </w:r>
    </w:p>
    <w:p>
      <w:pPr>
        <w:pStyle w:val="6"/>
        <w:ind w:firstLine="640"/>
        <w:rPr>
          <w:rFonts w:ascii="Times New Roman" w:hAnsi="Times New Roman" w:eastAsia="仿宋" w:cs="Times New Roman"/>
          <w:sz w:val="32"/>
          <w:szCs w:val="32"/>
        </w:rPr>
      </w:pPr>
      <w:r>
        <w:rPr>
          <w:rFonts w:ascii="Times New Roman" w:hAnsi="Times New Roman" w:eastAsia="仿宋" w:cs="Times New Roman"/>
          <w:sz w:val="32"/>
          <w:szCs w:val="32"/>
        </w:rPr>
        <w:t>2022年是</w:t>
      </w:r>
      <w:r>
        <w:rPr>
          <w:rFonts w:hint="eastAsia" w:ascii="Times New Roman" w:hAnsi="Times New Roman" w:eastAsia="仿宋" w:cs="Times New Roman"/>
          <w:sz w:val="32"/>
          <w:szCs w:val="32"/>
        </w:rPr>
        <w:t>金平区</w:t>
      </w:r>
      <w:r>
        <w:rPr>
          <w:rFonts w:ascii="Times New Roman" w:hAnsi="Times New Roman" w:eastAsia="仿宋" w:cs="Times New Roman"/>
          <w:sz w:val="32"/>
          <w:szCs w:val="32"/>
        </w:rPr>
        <w:t>加快各个重点项目发展进程的落实年，通过本成片开发方案的实施，强化规划引领，全面推进交通、市政、公用基础设施的建设，完善片区城市化功能配套建设，推进中心城区基础设施一体化，以打造“一区两带五组团”发展新格局，强化汕头市主城区功能为目标，加快城市面貌脱胎换骨、功能品质系统提升的步伐。</w:t>
      </w:r>
    </w:p>
    <w:p>
      <w:pPr>
        <w:pStyle w:val="6"/>
        <w:ind w:firstLine="640"/>
        <w:rPr>
          <w:rFonts w:ascii="Times New Roman" w:hAnsi="Times New Roman" w:eastAsia="仿宋" w:cs="Times New Roman"/>
          <w:sz w:val="32"/>
          <w:szCs w:val="32"/>
        </w:rPr>
      </w:pPr>
      <w:r>
        <w:rPr>
          <w:rFonts w:ascii="Times New Roman" w:hAnsi="Times New Roman" w:eastAsia="仿宋" w:cs="Times New Roman"/>
          <w:sz w:val="32"/>
          <w:szCs w:val="32"/>
        </w:rPr>
        <w:t>本成片开发方案整合</w:t>
      </w:r>
      <w:r>
        <w:rPr>
          <w:rFonts w:hint="eastAsia" w:ascii="Times New Roman" w:hAnsi="Times New Roman" w:eastAsia="仿宋" w:cs="Times New Roman"/>
          <w:sz w:val="32"/>
          <w:szCs w:val="32"/>
        </w:rPr>
        <w:t>金平区</w:t>
      </w:r>
      <w:r>
        <w:rPr>
          <w:rFonts w:ascii="Times New Roman" w:hAnsi="Times New Roman" w:eastAsia="仿宋" w:cs="Times New Roman"/>
          <w:sz w:val="32"/>
          <w:szCs w:val="32"/>
        </w:rPr>
        <w:t>的自然资源，突出特色潮汕文化建设，持续提升城区功能品质，促进文化、教育、文旅康体、社会福利等</w:t>
      </w:r>
      <w:r>
        <w:rPr>
          <w:rFonts w:hint="eastAsia" w:ascii="Times New Roman" w:hAnsi="Times New Roman" w:eastAsia="仿宋" w:cs="Times New Roman"/>
          <w:sz w:val="32"/>
          <w:szCs w:val="32"/>
        </w:rPr>
        <w:t>各项社会</w:t>
      </w:r>
      <w:r>
        <w:rPr>
          <w:rFonts w:ascii="Times New Roman" w:hAnsi="Times New Roman" w:eastAsia="仿宋" w:cs="Times New Roman"/>
          <w:sz w:val="32"/>
          <w:szCs w:val="32"/>
        </w:rPr>
        <w:t>事业的迅速发展，带动区域经济增长，</w:t>
      </w:r>
      <w:r>
        <w:rPr>
          <w:rFonts w:hint="eastAsia" w:ascii="Times New Roman" w:hAnsi="Times New Roman" w:eastAsia="仿宋" w:cs="Times New Roman"/>
          <w:sz w:val="32"/>
          <w:szCs w:val="32"/>
        </w:rPr>
        <w:t>开创高质量发展</w:t>
      </w:r>
      <w:r>
        <w:rPr>
          <w:rFonts w:ascii="Times New Roman" w:hAnsi="Times New Roman" w:eastAsia="仿宋" w:cs="Times New Roman"/>
          <w:sz w:val="32"/>
          <w:szCs w:val="32"/>
        </w:rPr>
        <w:t>新局面。</w:t>
      </w:r>
    </w:p>
    <w:p>
      <w:pPr>
        <w:pStyle w:val="6"/>
        <w:spacing w:line="700" w:lineRule="exact"/>
        <w:ind w:firstLine="643"/>
        <w:rPr>
          <w:rFonts w:ascii="Times New Roman" w:hAnsi="Times New Roman" w:eastAsia="仿宋" w:cs="Times New Roman"/>
          <w:b/>
          <w:bCs/>
          <w:kern w:val="44"/>
          <w:sz w:val="32"/>
          <w:szCs w:val="44"/>
        </w:rPr>
      </w:pPr>
      <w:r>
        <w:rPr>
          <w:rFonts w:ascii="Times New Roman" w:hAnsi="Times New Roman" w:eastAsia="仿宋" w:cs="Times New Roman"/>
          <w:b/>
          <w:bCs/>
          <w:kern w:val="44"/>
          <w:sz w:val="32"/>
          <w:szCs w:val="44"/>
        </w:rPr>
        <w:t>（</w:t>
      </w:r>
      <w:r>
        <w:rPr>
          <w:rFonts w:hint="eastAsia" w:ascii="Times New Roman" w:hAnsi="Times New Roman" w:eastAsia="仿宋" w:cs="Times New Roman"/>
          <w:b/>
          <w:bCs/>
          <w:kern w:val="44"/>
          <w:sz w:val="32"/>
          <w:szCs w:val="44"/>
        </w:rPr>
        <w:t>六</w:t>
      </w:r>
      <w:r>
        <w:rPr>
          <w:rFonts w:ascii="Times New Roman" w:hAnsi="Times New Roman" w:eastAsia="仿宋" w:cs="Times New Roman"/>
          <w:b/>
          <w:bCs/>
          <w:kern w:val="44"/>
          <w:sz w:val="32"/>
          <w:szCs w:val="44"/>
        </w:rPr>
        <w:t>）带动就业，提升居民幸福指数</w:t>
      </w:r>
    </w:p>
    <w:p>
      <w:pPr>
        <w:pStyle w:val="6"/>
        <w:ind w:firstLine="640"/>
        <w:rPr>
          <w:rFonts w:ascii="Times New Roman" w:hAnsi="Times New Roman" w:eastAsia="仿宋" w:cs="Times New Roman"/>
          <w:sz w:val="32"/>
          <w:szCs w:val="32"/>
        </w:rPr>
      </w:pPr>
      <w:r>
        <w:rPr>
          <w:rFonts w:ascii="Times New Roman" w:hAnsi="Times New Roman" w:eastAsia="仿宋" w:cs="Times New Roman"/>
          <w:sz w:val="32"/>
          <w:szCs w:val="32"/>
        </w:rPr>
        <w:t>本成片开发方案涵盖了</w:t>
      </w:r>
      <w:r>
        <w:rPr>
          <w:rFonts w:hint="eastAsia" w:ascii="Times New Roman" w:hAnsi="Times New Roman" w:eastAsia="仿宋" w:cs="Times New Roman"/>
          <w:sz w:val="32"/>
          <w:szCs w:val="32"/>
        </w:rPr>
        <w:t>现代商贸物流园区</w:t>
      </w:r>
      <w:r>
        <w:rPr>
          <w:rFonts w:ascii="Times New Roman" w:hAnsi="Times New Roman" w:eastAsia="仿宋" w:cs="Times New Roman"/>
          <w:sz w:val="32"/>
          <w:szCs w:val="32"/>
        </w:rPr>
        <w:t>、</w:t>
      </w:r>
      <w:r>
        <w:rPr>
          <w:rFonts w:hint="eastAsia" w:ascii="Times New Roman" w:hAnsi="Times New Roman" w:eastAsia="仿宋" w:cs="Times New Roman"/>
          <w:sz w:val="32"/>
          <w:szCs w:val="32"/>
        </w:rPr>
        <w:t>新能源锂电池产业园区</w:t>
      </w:r>
      <w:r>
        <w:rPr>
          <w:rFonts w:ascii="Times New Roman" w:hAnsi="Times New Roman" w:eastAsia="仿宋" w:cs="Times New Roman"/>
          <w:sz w:val="32"/>
          <w:szCs w:val="32"/>
        </w:rPr>
        <w:t>、</w:t>
      </w:r>
      <w:r>
        <w:rPr>
          <w:rFonts w:hint="eastAsia" w:ascii="Times New Roman" w:hAnsi="Times New Roman" w:eastAsia="仿宋" w:cs="Times New Roman"/>
          <w:sz w:val="32"/>
          <w:szCs w:val="32"/>
        </w:rPr>
        <w:t>新型现代工业园区</w:t>
      </w:r>
      <w:r>
        <w:rPr>
          <w:rFonts w:ascii="Times New Roman" w:hAnsi="Times New Roman" w:eastAsia="仿宋" w:cs="Times New Roman"/>
          <w:sz w:val="32"/>
          <w:szCs w:val="32"/>
        </w:rPr>
        <w:t>、</w:t>
      </w:r>
      <w:r>
        <w:rPr>
          <w:rFonts w:hint="eastAsia" w:ascii="Times New Roman" w:hAnsi="Times New Roman" w:eastAsia="仿宋" w:cs="Times New Roman"/>
          <w:sz w:val="32"/>
          <w:szCs w:val="32"/>
        </w:rPr>
        <w:t>大港河产城融合示范区和智能制造产业城</w:t>
      </w:r>
      <w:r>
        <w:rPr>
          <w:rFonts w:ascii="Times New Roman" w:hAnsi="Times New Roman" w:eastAsia="仿宋" w:cs="Times New Roman"/>
          <w:sz w:val="32"/>
          <w:szCs w:val="32"/>
        </w:rPr>
        <w:t>等项目，通过城市开发建设，吸引投资，带动就业。</w:t>
      </w:r>
      <w:r>
        <w:rPr>
          <w:rFonts w:hint="eastAsia" w:ascii="Times New Roman" w:hAnsi="Times New Roman" w:eastAsia="仿宋" w:cs="Times New Roman"/>
          <w:sz w:val="32"/>
          <w:szCs w:val="32"/>
        </w:rPr>
        <w:t>狠抓招商引资工作，聚焦重点产业、重点园区开展精准招商，积极引进高端产业、</w:t>
      </w:r>
      <w:r>
        <w:rPr>
          <w:rFonts w:ascii="Times New Roman" w:hAnsi="Times New Roman" w:eastAsia="仿宋" w:cs="Times New Roman"/>
          <w:sz w:val="32"/>
          <w:szCs w:val="32"/>
        </w:rPr>
        <w:t>大型项目落户。</w:t>
      </w:r>
      <w:r>
        <w:rPr>
          <w:rFonts w:hint="eastAsia" w:ascii="Times New Roman" w:hAnsi="Times New Roman" w:eastAsia="仿宋" w:cs="Times New Roman"/>
          <w:sz w:val="32"/>
          <w:szCs w:val="32"/>
        </w:rPr>
        <w:t>同时拓宽市场化就业渠道，促进创业带动就业。落实就业优先政策，做好高校毕业生、退役军人、农民工等重点群体就业工作。</w:t>
      </w:r>
      <w:r>
        <w:rPr>
          <w:rFonts w:ascii="Times New Roman" w:hAnsi="Times New Roman" w:eastAsia="仿宋" w:cs="Times New Roman"/>
          <w:sz w:val="32"/>
          <w:szCs w:val="32"/>
        </w:rPr>
        <w:t>成片开发方案划定后将配套40%以上比例的公益性用地，将推动公益性用地和基础设施用地的建设，改善区域设施服务水平。规划更多的公园绿地</w:t>
      </w:r>
      <w:r>
        <w:rPr>
          <w:rFonts w:hint="eastAsia" w:ascii="Times New Roman" w:hAnsi="Times New Roman" w:eastAsia="仿宋" w:cs="Times New Roman"/>
          <w:sz w:val="32"/>
          <w:szCs w:val="32"/>
        </w:rPr>
        <w:t>和文化设施用地</w:t>
      </w:r>
      <w:r>
        <w:rPr>
          <w:rFonts w:ascii="Times New Roman" w:hAnsi="Times New Roman" w:eastAsia="仿宋" w:cs="Times New Roman"/>
          <w:sz w:val="32"/>
          <w:szCs w:val="32"/>
        </w:rPr>
        <w:t>，满足了人民群众对于人居生活环境品质提升的需求。同时，市政道路的配套完善，改善了区域的交通网络，提升了生活便利度与居民满意度，提高城市生活幸福指数。</w:t>
      </w:r>
    </w:p>
    <w:p>
      <w:pPr>
        <w:pStyle w:val="6"/>
        <w:spacing w:line="740" w:lineRule="exact"/>
        <w:ind w:firstLine="643"/>
        <w:outlineLvl w:val="0"/>
        <w:rPr>
          <w:rFonts w:ascii="Times New Roman" w:hAnsi="Times New Roman" w:eastAsia="仿宋" w:cs="Times New Roman"/>
          <w:b/>
          <w:bCs/>
          <w:kern w:val="44"/>
          <w:sz w:val="32"/>
          <w:szCs w:val="44"/>
        </w:rPr>
      </w:pPr>
      <w:r>
        <w:rPr>
          <w:rFonts w:ascii="Times New Roman" w:hAnsi="Times New Roman" w:eastAsia="仿宋" w:cs="Times New Roman"/>
          <w:b/>
          <w:bCs/>
          <w:kern w:val="44"/>
          <w:sz w:val="32"/>
          <w:szCs w:val="44"/>
        </w:rPr>
        <w:t>四、成片开发的主要用途、公益性用地占比及功能布局</w:t>
      </w:r>
    </w:p>
    <w:p>
      <w:pPr>
        <w:pStyle w:val="6"/>
        <w:spacing w:line="700" w:lineRule="exact"/>
        <w:ind w:firstLine="643"/>
        <w:rPr>
          <w:rFonts w:ascii="Times New Roman" w:hAnsi="Times New Roman" w:eastAsia="仿宋" w:cs="Times New Roman"/>
          <w:b/>
          <w:bCs/>
          <w:kern w:val="44"/>
          <w:sz w:val="32"/>
          <w:szCs w:val="44"/>
        </w:rPr>
      </w:pPr>
      <w:r>
        <w:rPr>
          <w:rFonts w:ascii="Times New Roman" w:hAnsi="Times New Roman" w:eastAsia="仿宋" w:cs="Times New Roman"/>
          <w:b/>
          <w:bCs/>
          <w:kern w:val="44"/>
          <w:sz w:val="32"/>
          <w:szCs w:val="44"/>
        </w:rPr>
        <w:t>（一）主要用途、公益性用地占比</w:t>
      </w:r>
    </w:p>
    <w:p>
      <w:pPr>
        <w:pStyle w:val="6"/>
        <w:ind w:firstLine="640"/>
        <w:rPr>
          <w:rFonts w:ascii="Times New Roman" w:hAnsi="Times New Roman" w:eastAsia="仿宋" w:cs="Times New Roman"/>
          <w:sz w:val="32"/>
          <w:szCs w:val="32"/>
        </w:rPr>
      </w:pPr>
      <w:r>
        <w:rPr>
          <w:rFonts w:ascii="Times New Roman" w:hAnsi="Times New Roman" w:eastAsia="仿宋" w:cs="Times New Roman"/>
          <w:sz w:val="32"/>
          <w:szCs w:val="32"/>
        </w:rPr>
        <w:t>本成片开发方案规划用途主要为公共管理与公共服务设施用地、商业服务业设施用地、绿地与广场用地、工业用地、居住用地、道路与交通设施用地</w:t>
      </w:r>
      <w:r>
        <w:rPr>
          <w:rFonts w:hint="eastAsia" w:ascii="Times New Roman" w:hAnsi="Times New Roman" w:eastAsia="仿宋" w:cs="Times New Roman"/>
          <w:sz w:val="32"/>
          <w:szCs w:val="32"/>
        </w:rPr>
        <w:t>、</w:t>
      </w:r>
      <w:r>
        <w:rPr>
          <w:rFonts w:ascii="Times New Roman" w:hAnsi="Times New Roman" w:eastAsia="仿宋" w:cs="Times New Roman"/>
          <w:sz w:val="32"/>
          <w:szCs w:val="32"/>
        </w:rPr>
        <w:t>公用设施用地</w:t>
      </w:r>
      <w:r>
        <w:rPr>
          <w:rFonts w:hint="eastAsia" w:ascii="Times New Roman" w:hAnsi="Times New Roman" w:eastAsia="仿宋" w:cs="Times New Roman"/>
          <w:sz w:val="32"/>
          <w:szCs w:val="32"/>
        </w:rPr>
        <w:t>及</w:t>
      </w:r>
      <w:r>
        <w:rPr>
          <w:rFonts w:ascii="Times New Roman" w:hAnsi="Times New Roman" w:eastAsia="仿宋" w:cs="Times New Roman"/>
          <w:sz w:val="32"/>
          <w:szCs w:val="32"/>
        </w:rPr>
        <w:t>物流仓储用地等，规划通过混合功能的开发模式，</w:t>
      </w:r>
      <w:r>
        <w:rPr>
          <w:rFonts w:hint="eastAsia" w:ascii="Times New Roman" w:hAnsi="Times New Roman" w:eastAsia="仿宋" w:cs="Times New Roman"/>
          <w:sz w:val="32"/>
          <w:szCs w:val="32"/>
        </w:rPr>
        <w:t>全力推进金平区建设“产业强区、科教兴区、商贸旺区、文化活区、环境优区”。</w:t>
      </w:r>
    </w:p>
    <w:p>
      <w:pPr>
        <w:pStyle w:val="6"/>
        <w:ind w:firstLine="640"/>
        <w:rPr>
          <w:rFonts w:ascii="Times New Roman" w:hAnsi="Times New Roman" w:eastAsia="仿宋" w:cs="Times New Roman"/>
          <w:sz w:val="32"/>
          <w:szCs w:val="32"/>
        </w:rPr>
      </w:pPr>
      <w:r>
        <w:rPr>
          <w:rFonts w:ascii="Times New Roman" w:hAnsi="Times New Roman" w:eastAsia="仿宋" w:cs="Times New Roman"/>
          <w:sz w:val="32"/>
          <w:szCs w:val="32"/>
        </w:rPr>
        <w:t>本成片开发方案涉及的基础设施、公共服务以及其他公益性用地面积共</w:t>
      </w:r>
      <w:r>
        <w:rPr>
          <w:rFonts w:hint="eastAsia" w:ascii="Times New Roman" w:hAnsi="Times New Roman" w:eastAsia="仿宋" w:cs="Times New Roman"/>
          <w:sz w:val="32"/>
          <w:szCs w:val="32"/>
        </w:rPr>
        <w:t>91.</w:t>
      </w:r>
      <w:r>
        <w:rPr>
          <w:rFonts w:ascii="Times New Roman" w:hAnsi="Times New Roman" w:eastAsia="仿宋" w:cs="Times New Roman"/>
          <w:sz w:val="32"/>
          <w:szCs w:val="32"/>
        </w:rPr>
        <w:t>7080公顷（折合</w:t>
      </w:r>
      <w:r>
        <w:rPr>
          <w:rFonts w:hint="eastAsia" w:ascii="Times New Roman" w:hAnsi="Times New Roman" w:eastAsia="仿宋" w:cs="Times New Roman"/>
          <w:sz w:val="32"/>
          <w:szCs w:val="32"/>
        </w:rPr>
        <w:t>13</w:t>
      </w:r>
      <w:r>
        <w:rPr>
          <w:rFonts w:ascii="Times New Roman" w:hAnsi="Times New Roman" w:eastAsia="仿宋" w:cs="Times New Roman"/>
          <w:sz w:val="32"/>
          <w:szCs w:val="32"/>
        </w:rPr>
        <w:t>75.6200亩），占总用地面积的42.84%。每个片区内公益性用地比例符合自然资源部印发的标准以及广东省相关政策文件的规定。详细占比情况见下表2及附件2：</w:t>
      </w:r>
    </w:p>
    <w:p>
      <w:pPr>
        <w:keepNext/>
        <w:spacing w:line="500" w:lineRule="exact"/>
        <w:ind w:firstLine="0" w:firstLineChars="0"/>
        <w:jc w:val="center"/>
        <w:outlineLvl w:val="4"/>
        <w:rPr>
          <w:rFonts w:ascii="Times New Roman" w:hAnsi="Times New Roman" w:eastAsia="仿宋"/>
          <w:b/>
          <w:sz w:val="28"/>
          <w:szCs w:val="28"/>
        </w:rPr>
      </w:pPr>
      <w:r>
        <w:rPr>
          <w:rFonts w:ascii="Times New Roman" w:hAnsi="Times New Roman" w:eastAsia="仿宋"/>
          <w:b/>
          <w:bCs/>
          <w:szCs w:val="24"/>
        </w:rPr>
        <w:t>表2</w:t>
      </w:r>
      <w:r>
        <w:rPr>
          <w:rFonts w:hint="eastAsia" w:eastAsia="仿宋"/>
          <w:b/>
          <w:bCs/>
          <w:szCs w:val="24"/>
          <w:lang w:val="en-US" w:eastAsia="zh-CN"/>
        </w:rPr>
        <w:t xml:space="preserve"> </w:t>
      </w:r>
      <w:r>
        <w:rPr>
          <w:rFonts w:ascii="Times New Roman" w:hAnsi="Times New Roman" w:eastAsia="仿宋"/>
          <w:b/>
          <w:bCs/>
          <w:szCs w:val="24"/>
        </w:rPr>
        <w:t>成片开发范围各片区公益性用地占比情况一览表</w:t>
      </w:r>
    </w:p>
    <w:tbl>
      <w:tblPr>
        <w:tblStyle w:val="4"/>
        <w:tblW w:w="9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8"/>
        <w:gridCol w:w="1627"/>
        <w:gridCol w:w="1525"/>
        <w:gridCol w:w="1550"/>
        <w:gridCol w:w="1418"/>
        <w:gridCol w:w="1581"/>
        <w:gridCol w:w="1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blHeader/>
          <w:jc w:val="center"/>
        </w:trPr>
        <w:tc>
          <w:tcPr>
            <w:tcW w:w="538" w:type="dxa"/>
            <w:vAlign w:val="center"/>
          </w:tcPr>
          <w:p>
            <w:pPr>
              <w:keepNext/>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sz w:val="21"/>
                <w:szCs w:val="21"/>
              </w:rPr>
            </w:pPr>
            <w:r>
              <w:rPr>
                <w:rFonts w:ascii="Times New Roman" w:hAnsi="Times New Roman" w:eastAsia="仿宋"/>
                <w:b/>
                <w:bCs/>
                <w:kern w:val="0"/>
                <w:sz w:val="21"/>
              </w:rPr>
              <w:t>序号</w:t>
            </w:r>
          </w:p>
        </w:tc>
        <w:tc>
          <w:tcPr>
            <w:tcW w:w="1627" w:type="dxa"/>
            <w:vAlign w:val="center"/>
          </w:tcPr>
          <w:p>
            <w:pPr>
              <w:keepNext/>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sz w:val="21"/>
                <w:szCs w:val="21"/>
              </w:rPr>
            </w:pPr>
            <w:r>
              <w:rPr>
                <w:rFonts w:ascii="Times New Roman" w:hAnsi="Times New Roman" w:eastAsia="仿宋"/>
                <w:b/>
                <w:bCs/>
                <w:kern w:val="0"/>
                <w:sz w:val="21"/>
              </w:rPr>
              <w:t>片区名称</w:t>
            </w:r>
          </w:p>
        </w:tc>
        <w:tc>
          <w:tcPr>
            <w:tcW w:w="1525" w:type="dxa"/>
            <w:vAlign w:val="center"/>
          </w:tcPr>
          <w:p>
            <w:pPr>
              <w:keepNext/>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sz w:val="21"/>
                <w:szCs w:val="21"/>
              </w:rPr>
            </w:pPr>
            <w:r>
              <w:rPr>
                <w:rFonts w:hint="eastAsia" w:ascii="Times New Roman" w:hAnsi="Times New Roman" w:eastAsia="仿宋"/>
                <w:b/>
                <w:sz w:val="21"/>
                <w:szCs w:val="21"/>
              </w:rPr>
              <w:t>成片开发范围面积</w:t>
            </w:r>
          </w:p>
          <w:p>
            <w:pPr>
              <w:keepNext/>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sz w:val="21"/>
                <w:szCs w:val="21"/>
              </w:rPr>
            </w:pPr>
            <w:r>
              <w:rPr>
                <w:rFonts w:ascii="Times New Roman" w:hAnsi="Times New Roman" w:eastAsia="仿宋"/>
                <w:b/>
                <w:sz w:val="21"/>
                <w:szCs w:val="21"/>
              </w:rPr>
              <w:t>（公顷）</w:t>
            </w:r>
          </w:p>
        </w:tc>
        <w:tc>
          <w:tcPr>
            <w:tcW w:w="1550" w:type="dxa"/>
            <w:vAlign w:val="center"/>
          </w:tcPr>
          <w:p>
            <w:pPr>
              <w:keepNext/>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sz w:val="21"/>
                <w:szCs w:val="21"/>
              </w:rPr>
            </w:pPr>
            <w:r>
              <w:rPr>
                <w:rFonts w:hint="eastAsia" w:ascii="Times New Roman" w:hAnsi="Times New Roman" w:eastAsia="仿宋"/>
                <w:b/>
                <w:sz w:val="21"/>
                <w:szCs w:val="21"/>
              </w:rPr>
              <w:t>成片开发范围</w:t>
            </w:r>
            <w:r>
              <w:rPr>
                <w:rFonts w:ascii="Times New Roman" w:hAnsi="Times New Roman" w:eastAsia="仿宋"/>
                <w:b/>
                <w:sz w:val="21"/>
                <w:szCs w:val="21"/>
              </w:rPr>
              <w:t>面积</w:t>
            </w:r>
          </w:p>
          <w:p>
            <w:pPr>
              <w:keepNext/>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sz w:val="21"/>
                <w:szCs w:val="21"/>
              </w:rPr>
            </w:pPr>
            <w:r>
              <w:rPr>
                <w:rFonts w:ascii="Times New Roman" w:hAnsi="Times New Roman" w:eastAsia="仿宋"/>
                <w:b/>
                <w:sz w:val="21"/>
                <w:szCs w:val="21"/>
              </w:rPr>
              <w:t>（亩）</w:t>
            </w:r>
          </w:p>
        </w:tc>
        <w:tc>
          <w:tcPr>
            <w:tcW w:w="1418" w:type="dxa"/>
            <w:vAlign w:val="center"/>
          </w:tcPr>
          <w:p>
            <w:pPr>
              <w:keepNext/>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sz w:val="21"/>
                <w:szCs w:val="21"/>
              </w:rPr>
            </w:pPr>
            <w:r>
              <w:rPr>
                <w:rFonts w:ascii="Times New Roman" w:hAnsi="Times New Roman" w:eastAsia="仿宋"/>
                <w:b/>
                <w:sz w:val="21"/>
                <w:szCs w:val="21"/>
              </w:rPr>
              <w:t>公益性用地面积</w:t>
            </w:r>
          </w:p>
          <w:p>
            <w:pPr>
              <w:keepNext/>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sz w:val="21"/>
                <w:szCs w:val="21"/>
              </w:rPr>
            </w:pPr>
            <w:r>
              <w:rPr>
                <w:rFonts w:ascii="Times New Roman" w:hAnsi="Times New Roman" w:eastAsia="仿宋"/>
                <w:b/>
                <w:sz w:val="21"/>
                <w:szCs w:val="21"/>
              </w:rPr>
              <w:t>（公顷）</w:t>
            </w:r>
          </w:p>
        </w:tc>
        <w:tc>
          <w:tcPr>
            <w:tcW w:w="1581" w:type="dxa"/>
            <w:vAlign w:val="center"/>
          </w:tcPr>
          <w:p>
            <w:pPr>
              <w:keepNext/>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sz w:val="21"/>
                <w:szCs w:val="21"/>
              </w:rPr>
            </w:pPr>
            <w:r>
              <w:rPr>
                <w:rFonts w:ascii="Times New Roman" w:hAnsi="Times New Roman" w:eastAsia="仿宋"/>
                <w:b/>
                <w:sz w:val="21"/>
                <w:szCs w:val="21"/>
              </w:rPr>
              <w:t>公益性用地面积（亩）</w:t>
            </w:r>
          </w:p>
        </w:tc>
        <w:tc>
          <w:tcPr>
            <w:tcW w:w="1295" w:type="dxa"/>
            <w:vAlign w:val="center"/>
          </w:tcPr>
          <w:p>
            <w:pPr>
              <w:keepNext/>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sz w:val="21"/>
                <w:szCs w:val="21"/>
              </w:rPr>
            </w:pPr>
            <w:r>
              <w:rPr>
                <w:rFonts w:ascii="Times New Roman" w:hAnsi="Times New Roman" w:eastAsia="仿宋"/>
                <w:b/>
                <w:sz w:val="21"/>
                <w:szCs w:val="21"/>
              </w:rPr>
              <w:t>公益性用地面积占比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538" w:type="dxa"/>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sz w:val="21"/>
                <w:szCs w:val="21"/>
              </w:rPr>
            </w:pPr>
            <w:r>
              <w:rPr>
                <w:rFonts w:ascii="Times New Roman" w:hAnsi="Times New Roman" w:eastAsia="仿宋"/>
                <w:kern w:val="0"/>
                <w:sz w:val="21"/>
              </w:rPr>
              <w:t>1</w:t>
            </w:r>
          </w:p>
        </w:tc>
        <w:tc>
          <w:tcPr>
            <w:tcW w:w="1627" w:type="dxa"/>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电商物流园区</w:t>
            </w:r>
          </w:p>
        </w:tc>
        <w:tc>
          <w:tcPr>
            <w:tcW w:w="1525"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30.2028</w:t>
            </w:r>
          </w:p>
        </w:tc>
        <w:tc>
          <w:tcPr>
            <w:tcW w:w="1550"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453.0420</w:t>
            </w:r>
          </w:p>
        </w:tc>
        <w:tc>
          <w:tcPr>
            <w:tcW w:w="1418"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1</w:t>
            </w:r>
            <w:r>
              <w:rPr>
                <w:rFonts w:ascii="Times New Roman" w:hAnsi="Times New Roman" w:eastAsia="仿宋"/>
                <w:kern w:val="0"/>
                <w:sz w:val="21"/>
              </w:rPr>
              <w:t>3.0407</w:t>
            </w:r>
          </w:p>
        </w:tc>
        <w:tc>
          <w:tcPr>
            <w:tcW w:w="1581" w:type="dxa"/>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color w:val="000000"/>
                <w:kern w:val="0"/>
                <w:sz w:val="21"/>
                <w:szCs w:val="21"/>
              </w:rPr>
            </w:pPr>
            <w:r>
              <w:rPr>
                <w:rFonts w:ascii="Times New Roman" w:hAnsi="Times New Roman"/>
                <w:color w:val="000000"/>
                <w:sz w:val="21"/>
                <w:szCs w:val="21"/>
              </w:rPr>
              <w:t>195.6105</w:t>
            </w:r>
          </w:p>
        </w:tc>
        <w:tc>
          <w:tcPr>
            <w:tcW w:w="1295"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4</w:t>
            </w:r>
            <w:r>
              <w:rPr>
                <w:rFonts w:ascii="Times New Roman" w:hAnsi="Times New Roman" w:eastAsia="仿宋"/>
                <w:kern w:val="0"/>
                <w:sz w:val="21"/>
              </w:rPr>
              <w:t>3.18</w:t>
            </w:r>
            <w:r>
              <w:rPr>
                <w:rFonts w:hint="eastAsia" w:ascii="Times New Roman" w:hAnsi="Times New Roman" w:eastAsia="仿宋"/>
                <w:kern w:val="0"/>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38" w:type="dxa"/>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sz w:val="21"/>
                <w:szCs w:val="21"/>
              </w:rPr>
            </w:pPr>
            <w:r>
              <w:rPr>
                <w:rFonts w:ascii="Times New Roman" w:hAnsi="Times New Roman" w:eastAsia="仿宋"/>
                <w:kern w:val="0"/>
                <w:sz w:val="21"/>
              </w:rPr>
              <w:t>2</w:t>
            </w:r>
          </w:p>
        </w:tc>
        <w:tc>
          <w:tcPr>
            <w:tcW w:w="1627" w:type="dxa"/>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莲塘工业园区片区</w:t>
            </w:r>
          </w:p>
        </w:tc>
        <w:tc>
          <w:tcPr>
            <w:tcW w:w="1525"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44.5455</w:t>
            </w:r>
          </w:p>
        </w:tc>
        <w:tc>
          <w:tcPr>
            <w:tcW w:w="1550"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668.1825</w:t>
            </w:r>
          </w:p>
        </w:tc>
        <w:tc>
          <w:tcPr>
            <w:tcW w:w="1418"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1</w:t>
            </w:r>
            <w:r>
              <w:rPr>
                <w:rFonts w:ascii="Times New Roman" w:hAnsi="Times New Roman" w:eastAsia="仿宋"/>
                <w:kern w:val="0"/>
                <w:sz w:val="21"/>
              </w:rPr>
              <w:t>9.1383</w:t>
            </w:r>
          </w:p>
        </w:tc>
        <w:tc>
          <w:tcPr>
            <w:tcW w:w="1581" w:type="dxa"/>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287.0745</w:t>
            </w:r>
          </w:p>
        </w:tc>
        <w:tc>
          <w:tcPr>
            <w:tcW w:w="1295"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4</w:t>
            </w:r>
            <w:r>
              <w:rPr>
                <w:rFonts w:ascii="Times New Roman" w:hAnsi="Times New Roman" w:eastAsia="仿宋"/>
                <w:kern w:val="0"/>
                <w:sz w:val="21"/>
              </w:rPr>
              <w:t>2.96</w:t>
            </w:r>
            <w:r>
              <w:rPr>
                <w:rFonts w:hint="eastAsia" w:ascii="Times New Roman" w:hAnsi="Times New Roman" w:eastAsia="仿宋"/>
                <w:kern w:val="0"/>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38" w:type="dxa"/>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3</w:t>
            </w:r>
          </w:p>
        </w:tc>
        <w:tc>
          <w:tcPr>
            <w:tcW w:w="1627" w:type="dxa"/>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汕头市金平区食品智慧产业园片区</w:t>
            </w:r>
          </w:p>
        </w:tc>
        <w:tc>
          <w:tcPr>
            <w:tcW w:w="1525"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52.9330</w:t>
            </w:r>
          </w:p>
        </w:tc>
        <w:tc>
          <w:tcPr>
            <w:tcW w:w="1550"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793.9950</w:t>
            </w:r>
          </w:p>
        </w:tc>
        <w:tc>
          <w:tcPr>
            <w:tcW w:w="1418"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2</w:t>
            </w:r>
            <w:r>
              <w:rPr>
                <w:rFonts w:ascii="Times New Roman" w:hAnsi="Times New Roman" w:eastAsia="仿宋"/>
                <w:kern w:val="0"/>
                <w:sz w:val="21"/>
              </w:rPr>
              <w:t>1.3491</w:t>
            </w:r>
          </w:p>
        </w:tc>
        <w:tc>
          <w:tcPr>
            <w:tcW w:w="1581" w:type="dxa"/>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320.2365</w:t>
            </w:r>
          </w:p>
        </w:tc>
        <w:tc>
          <w:tcPr>
            <w:tcW w:w="1295"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4</w:t>
            </w:r>
            <w:r>
              <w:rPr>
                <w:rFonts w:ascii="Times New Roman" w:hAnsi="Times New Roman" w:eastAsia="仿宋"/>
                <w:kern w:val="0"/>
                <w:sz w:val="21"/>
              </w:rPr>
              <w:t>0.33</w:t>
            </w:r>
            <w:r>
              <w:rPr>
                <w:rFonts w:hint="eastAsia" w:ascii="Times New Roman" w:hAnsi="Times New Roman" w:eastAsia="仿宋"/>
                <w:kern w:val="0"/>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38" w:type="dxa"/>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4</w:t>
            </w:r>
          </w:p>
        </w:tc>
        <w:tc>
          <w:tcPr>
            <w:tcW w:w="1627" w:type="dxa"/>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大港河产城融合项目一期片区一</w:t>
            </w:r>
          </w:p>
        </w:tc>
        <w:tc>
          <w:tcPr>
            <w:tcW w:w="1525"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31.6321</w:t>
            </w:r>
          </w:p>
        </w:tc>
        <w:tc>
          <w:tcPr>
            <w:tcW w:w="1550"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474.4815</w:t>
            </w:r>
          </w:p>
        </w:tc>
        <w:tc>
          <w:tcPr>
            <w:tcW w:w="1418"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13.9753</w:t>
            </w:r>
          </w:p>
        </w:tc>
        <w:tc>
          <w:tcPr>
            <w:tcW w:w="1581" w:type="dxa"/>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209.6295</w:t>
            </w:r>
          </w:p>
        </w:tc>
        <w:tc>
          <w:tcPr>
            <w:tcW w:w="1295"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44.18</w:t>
            </w:r>
            <w:r>
              <w:rPr>
                <w:rFonts w:hint="eastAsia" w:ascii="Times New Roman" w:hAnsi="Times New Roman" w:eastAsia="仿宋"/>
                <w:kern w:val="0"/>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38" w:type="dxa"/>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5</w:t>
            </w:r>
          </w:p>
        </w:tc>
        <w:tc>
          <w:tcPr>
            <w:tcW w:w="1627" w:type="dxa"/>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大港河产城融合项目一期片区二</w:t>
            </w:r>
          </w:p>
        </w:tc>
        <w:tc>
          <w:tcPr>
            <w:tcW w:w="1525"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19.0106</w:t>
            </w:r>
          </w:p>
        </w:tc>
        <w:tc>
          <w:tcPr>
            <w:tcW w:w="1550"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285.1590</w:t>
            </w:r>
          </w:p>
        </w:tc>
        <w:tc>
          <w:tcPr>
            <w:tcW w:w="1418"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7</w:t>
            </w:r>
            <w:r>
              <w:rPr>
                <w:rFonts w:ascii="Times New Roman" w:hAnsi="Times New Roman" w:eastAsia="仿宋"/>
                <w:kern w:val="0"/>
                <w:sz w:val="21"/>
              </w:rPr>
              <w:t>.9803</w:t>
            </w:r>
          </w:p>
        </w:tc>
        <w:tc>
          <w:tcPr>
            <w:tcW w:w="1581" w:type="dxa"/>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119.7045</w:t>
            </w:r>
          </w:p>
        </w:tc>
        <w:tc>
          <w:tcPr>
            <w:tcW w:w="1295"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4</w:t>
            </w:r>
            <w:r>
              <w:rPr>
                <w:rFonts w:ascii="Times New Roman" w:hAnsi="Times New Roman" w:eastAsia="仿宋"/>
                <w:kern w:val="0"/>
                <w:sz w:val="21"/>
              </w:rPr>
              <w:t>1.98</w:t>
            </w:r>
            <w:r>
              <w:rPr>
                <w:rFonts w:hint="eastAsia" w:ascii="Times New Roman" w:hAnsi="Times New Roman" w:eastAsia="仿宋"/>
                <w:kern w:val="0"/>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38" w:type="dxa"/>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6</w:t>
            </w:r>
          </w:p>
        </w:tc>
        <w:tc>
          <w:tcPr>
            <w:tcW w:w="1627" w:type="dxa"/>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金平工业园区现代产业集聚区西片区一</w:t>
            </w:r>
          </w:p>
        </w:tc>
        <w:tc>
          <w:tcPr>
            <w:tcW w:w="1525"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8.8328</w:t>
            </w:r>
          </w:p>
        </w:tc>
        <w:tc>
          <w:tcPr>
            <w:tcW w:w="1550"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132.4920</w:t>
            </w:r>
          </w:p>
        </w:tc>
        <w:tc>
          <w:tcPr>
            <w:tcW w:w="1418"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4</w:t>
            </w:r>
            <w:r>
              <w:rPr>
                <w:rFonts w:ascii="Times New Roman" w:hAnsi="Times New Roman" w:eastAsia="仿宋"/>
                <w:kern w:val="0"/>
                <w:sz w:val="21"/>
              </w:rPr>
              <w:t>.5194</w:t>
            </w:r>
          </w:p>
        </w:tc>
        <w:tc>
          <w:tcPr>
            <w:tcW w:w="1581" w:type="dxa"/>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67.7910</w:t>
            </w:r>
          </w:p>
        </w:tc>
        <w:tc>
          <w:tcPr>
            <w:tcW w:w="1295"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5</w:t>
            </w:r>
            <w:r>
              <w:rPr>
                <w:rFonts w:ascii="Times New Roman" w:hAnsi="Times New Roman" w:eastAsia="仿宋"/>
                <w:kern w:val="0"/>
                <w:sz w:val="21"/>
              </w:rPr>
              <w:t>1.17</w:t>
            </w:r>
            <w:r>
              <w:rPr>
                <w:rFonts w:hint="eastAsia" w:ascii="Times New Roman" w:hAnsi="Times New Roman" w:eastAsia="仿宋"/>
                <w:kern w:val="0"/>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38" w:type="dxa"/>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7</w:t>
            </w:r>
          </w:p>
        </w:tc>
        <w:tc>
          <w:tcPr>
            <w:tcW w:w="1627" w:type="dxa"/>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金平工业园区现代产业集聚区西片区二</w:t>
            </w:r>
          </w:p>
        </w:tc>
        <w:tc>
          <w:tcPr>
            <w:tcW w:w="1525"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26.9300</w:t>
            </w:r>
          </w:p>
        </w:tc>
        <w:tc>
          <w:tcPr>
            <w:tcW w:w="1550"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403.9500</w:t>
            </w:r>
          </w:p>
        </w:tc>
        <w:tc>
          <w:tcPr>
            <w:tcW w:w="1418"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1</w:t>
            </w:r>
            <w:r>
              <w:rPr>
                <w:rFonts w:ascii="Times New Roman" w:hAnsi="Times New Roman" w:eastAsia="仿宋"/>
                <w:kern w:val="0"/>
                <w:sz w:val="21"/>
              </w:rPr>
              <w:t>1.7049</w:t>
            </w:r>
          </w:p>
        </w:tc>
        <w:tc>
          <w:tcPr>
            <w:tcW w:w="1581" w:type="dxa"/>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175.5735</w:t>
            </w:r>
          </w:p>
        </w:tc>
        <w:tc>
          <w:tcPr>
            <w:tcW w:w="1295"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4</w:t>
            </w:r>
            <w:r>
              <w:rPr>
                <w:rFonts w:ascii="Times New Roman" w:hAnsi="Times New Roman" w:eastAsia="仿宋"/>
                <w:kern w:val="0"/>
                <w:sz w:val="21"/>
              </w:rPr>
              <w:t>3.46</w:t>
            </w:r>
            <w:r>
              <w:rPr>
                <w:rFonts w:hint="eastAsia" w:ascii="Times New Roman" w:hAnsi="Times New Roman" w:eastAsia="仿宋"/>
                <w:kern w:val="0"/>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165" w:type="dxa"/>
            <w:gridSpan w:val="2"/>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kern w:val="0"/>
                <w:sz w:val="21"/>
              </w:rPr>
            </w:pPr>
            <w:r>
              <w:rPr>
                <w:rFonts w:ascii="Times New Roman" w:hAnsi="Times New Roman" w:eastAsia="仿宋"/>
                <w:b/>
                <w:kern w:val="0"/>
                <w:sz w:val="21"/>
              </w:rPr>
              <w:t>合计</w:t>
            </w:r>
          </w:p>
        </w:tc>
        <w:tc>
          <w:tcPr>
            <w:tcW w:w="1525"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bCs/>
                <w:kern w:val="0"/>
                <w:sz w:val="21"/>
              </w:rPr>
            </w:pPr>
            <w:r>
              <w:rPr>
                <w:rFonts w:ascii="Times New Roman" w:hAnsi="Times New Roman" w:eastAsia="仿宋"/>
                <w:b/>
                <w:bCs/>
                <w:kern w:val="0"/>
                <w:sz w:val="21"/>
              </w:rPr>
              <w:t>214.0868</w:t>
            </w:r>
          </w:p>
        </w:tc>
        <w:tc>
          <w:tcPr>
            <w:tcW w:w="1550"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bCs/>
                <w:kern w:val="0"/>
                <w:sz w:val="21"/>
              </w:rPr>
            </w:pPr>
            <w:r>
              <w:rPr>
                <w:rFonts w:ascii="Times New Roman" w:hAnsi="Times New Roman" w:eastAsia="仿宋"/>
                <w:b/>
                <w:bCs/>
                <w:kern w:val="0"/>
                <w:sz w:val="21"/>
              </w:rPr>
              <w:t>3211.3020</w:t>
            </w:r>
          </w:p>
        </w:tc>
        <w:tc>
          <w:tcPr>
            <w:tcW w:w="1418"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bCs/>
                <w:kern w:val="0"/>
                <w:sz w:val="21"/>
              </w:rPr>
            </w:pPr>
            <w:r>
              <w:rPr>
                <w:rFonts w:hint="eastAsia" w:ascii="Times New Roman" w:hAnsi="Times New Roman" w:eastAsia="仿宋"/>
                <w:b/>
                <w:bCs/>
                <w:kern w:val="0"/>
                <w:sz w:val="21"/>
              </w:rPr>
              <w:t>91.</w:t>
            </w:r>
            <w:r>
              <w:rPr>
                <w:rFonts w:ascii="Times New Roman" w:hAnsi="Times New Roman" w:eastAsia="仿宋"/>
                <w:b/>
                <w:bCs/>
                <w:kern w:val="0"/>
                <w:sz w:val="21"/>
              </w:rPr>
              <w:t>7080</w:t>
            </w:r>
          </w:p>
        </w:tc>
        <w:tc>
          <w:tcPr>
            <w:tcW w:w="1581"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bCs/>
                <w:kern w:val="0"/>
                <w:sz w:val="21"/>
              </w:rPr>
            </w:pPr>
            <w:r>
              <w:rPr>
                <w:rFonts w:hint="eastAsia" w:ascii="Times New Roman" w:hAnsi="Times New Roman" w:eastAsia="仿宋"/>
                <w:b/>
                <w:bCs/>
                <w:kern w:val="0"/>
                <w:sz w:val="21"/>
              </w:rPr>
              <w:t>1</w:t>
            </w:r>
            <w:r>
              <w:rPr>
                <w:rFonts w:ascii="Times New Roman" w:hAnsi="Times New Roman" w:eastAsia="仿宋"/>
                <w:b/>
                <w:bCs/>
                <w:kern w:val="0"/>
                <w:sz w:val="21"/>
              </w:rPr>
              <w:t>375.6200</w:t>
            </w:r>
          </w:p>
        </w:tc>
        <w:tc>
          <w:tcPr>
            <w:tcW w:w="1295" w:type="dxa"/>
            <w:vAlign w:val="center"/>
          </w:tcPr>
          <w:p>
            <w:pPr>
              <w:keepLines w:val="0"/>
              <w:pageBreakBefore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bCs/>
                <w:kern w:val="0"/>
                <w:sz w:val="21"/>
              </w:rPr>
            </w:pPr>
            <w:r>
              <w:rPr>
                <w:rFonts w:hint="eastAsia" w:ascii="Times New Roman" w:hAnsi="Times New Roman" w:eastAsia="仿宋"/>
                <w:b/>
                <w:bCs/>
                <w:kern w:val="0"/>
                <w:sz w:val="21"/>
              </w:rPr>
              <w:t>4</w:t>
            </w:r>
            <w:r>
              <w:rPr>
                <w:rFonts w:ascii="Times New Roman" w:hAnsi="Times New Roman" w:eastAsia="仿宋"/>
                <w:b/>
                <w:bCs/>
                <w:kern w:val="0"/>
                <w:sz w:val="21"/>
              </w:rPr>
              <w:t>2.84</w:t>
            </w:r>
            <w:r>
              <w:rPr>
                <w:rFonts w:hint="eastAsia" w:ascii="Times New Roman" w:hAnsi="Times New Roman" w:eastAsia="仿宋"/>
                <w:b/>
                <w:bCs/>
                <w:kern w:val="0"/>
                <w:sz w:val="21"/>
              </w:rPr>
              <w:t>%</w:t>
            </w:r>
          </w:p>
        </w:tc>
      </w:tr>
    </w:tbl>
    <w:p>
      <w:pPr>
        <w:pStyle w:val="6"/>
        <w:spacing w:line="700" w:lineRule="exact"/>
        <w:ind w:firstLine="643"/>
        <w:rPr>
          <w:rFonts w:ascii="Times New Roman" w:hAnsi="Times New Roman" w:eastAsia="仿宋" w:cs="Times New Roman"/>
          <w:b/>
          <w:bCs/>
          <w:kern w:val="44"/>
          <w:sz w:val="32"/>
          <w:szCs w:val="44"/>
        </w:rPr>
      </w:pPr>
      <w:r>
        <w:rPr>
          <w:rFonts w:ascii="Times New Roman" w:hAnsi="Times New Roman" w:eastAsia="仿宋" w:cs="Times New Roman"/>
          <w:b/>
          <w:bCs/>
          <w:kern w:val="44"/>
          <w:sz w:val="32"/>
          <w:szCs w:val="44"/>
        </w:rPr>
        <w:t>（二）功能布局</w:t>
      </w:r>
    </w:p>
    <w:p>
      <w:pPr>
        <w:pStyle w:val="6"/>
        <w:ind w:firstLine="640"/>
        <w:rPr>
          <w:rFonts w:ascii="Times New Roman" w:hAnsi="Times New Roman" w:eastAsia="仿宋" w:cs="Times New Roman"/>
          <w:sz w:val="32"/>
          <w:szCs w:val="32"/>
        </w:rPr>
      </w:pPr>
      <w:r>
        <w:rPr>
          <w:rFonts w:ascii="Times New Roman" w:hAnsi="Times New Roman" w:eastAsia="仿宋" w:cs="Times New Roman"/>
          <w:sz w:val="32"/>
          <w:szCs w:val="32"/>
        </w:rPr>
        <w:t>根据《汕头市</w:t>
      </w:r>
      <w:r>
        <w:rPr>
          <w:rFonts w:hint="eastAsia" w:ascii="Times New Roman" w:hAnsi="Times New Roman" w:eastAsia="仿宋" w:cs="Times New Roman"/>
          <w:sz w:val="32"/>
          <w:szCs w:val="32"/>
        </w:rPr>
        <w:t>金平区</w:t>
      </w:r>
      <w:r>
        <w:rPr>
          <w:rFonts w:ascii="Times New Roman" w:hAnsi="Times New Roman" w:eastAsia="仿宋" w:cs="Times New Roman"/>
          <w:sz w:val="32"/>
          <w:szCs w:val="32"/>
        </w:rPr>
        <w:t>控制性详细规划全覆盖》、各片区</w:t>
      </w:r>
      <w:r>
        <w:rPr>
          <w:rFonts w:hint="eastAsia" w:ascii="Times New Roman" w:hAnsi="Times New Roman" w:eastAsia="仿宋" w:cs="Times New Roman"/>
          <w:sz w:val="32"/>
          <w:szCs w:val="32"/>
        </w:rPr>
        <w:t>控规法定化成果</w:t>
      </w:r>
      <w:r>
        <w:rPr>
          <w:rFonts w:ascii="Times New Roman" w:hAnsi="Times New Roman" w:eastAsia="仿宋" w:cs="Times New Roman"/>
          <w:sz w:val="32"/>
          <w:szCs w:val="32"/>
        </w:rPr>
        <w:t>，本次成片开发范围划分</w:t>
      </w:r>
      <w:r>
        <w:rPr>
          <w:rFonts w:hint="eastAsia" w:ascii="Times New Roman" w:hAnsi="Times New Roman" w:eastAsia="仿宋" w:cs="Times New Roman"/>
          <w:sz w:val="32"/>
          <w:szCs w:val="32"/>
        </w:rPr>
        <w:t>为</w:t>
      </w:r>
      <w:r>
        <w:rPr>
          <w:rFonts w:ascii="Times New Roman" w:hAnsi="Times New Roman" w:eastAsia="仿宋" w:cs="Times New Roman"/>
          <w:sz w:val="32"/>
          <w:szCs w:val="32"/>
        </w:rPr>
        <w:t>主要</w:t>
      </w:r>
      <w:r>
        <w:rPr>
          <w:rFonts w:hint="eastAsia" w:ascii="Times New Roman" w:hAnsi="Times New Roman" w:eastAsia="仿宋" w:cs="Times New Roman"/>
          <w:sz w:val="32"/>
          <w:szCs w:val="32"/>
        </w:rPr>
        <w:t>五</w:t>
      </w:r>
      <w:r>
        <w:rPr>
          <w:rFonts w:ascii="Times New Roman" w:hAnsi="Times New Roman" w:eastAsia="仿宋" w:cs="Times New Roman"/>
          <w:sz w:val="32"/>
          <w:szCs w:val="32"/>
        </w:rPr>
        <w:t>大功能分区，包括</w:t>
      </w:r>
      <w:r>
        <w:rPr>
          <w:rFonts w:hint="eastAsia" w:ascii="Times New Roman" w:hAnsi="Times New Roman" w:eastAsia="仿宋" w:cs="Times New Roman"/>
          <w:sz w:val="32"/>
          <w:szCs w:val="32"/>
        </w:rPr>
        <w:t>现代商贸物流园区、新能源锂电池产业园区、新型现代工业园区、大港河产城融合示范区和智能制造产业城。</w:t>
      </w:r>
    </w:p>
    <w:p>
      <w:pPr>
        <w:pStyle w:val="6"/>
        <w:spacing w:line="740" w:lineRule="exact"/>
        <w:ind w:firstLine="643"/>
        <w:outlineLvl w:val="0"/>
        <w:rPr>
          <w:rFonts w:ascii="Times New Roman" w:hAnsi="Times New Roman" w:eastAsia="仿宋" w:cs="Times New Roman"/>
          <w:b/>
          <w:bCs/>
          <w:kern w:val="44"/>
          <w:sz w:val="32"/>
          <w:szCs w:val="44"/>
        </w:rPr>
      </w:pPr>
      <w:r>
        <w:rPr>
          <w:rFonts w:ascii="Times New Roman" w:hAnsi="Times New Roman" w:eastAsia="仿宋" w:cs="Times New Roman"/>
          <w:b/>
          <w:bCs/>
          <w:kern w:val="44"/>
          <w:sz w:val="32"/>
          <w:szCs w:val="44"/>
        </w:rPr>
        <w:t>五、拟安排项目及实施计划</w:t>
      </w:r>
    </w:p>
    <w:p>
      <w:pPr>
        <w:pStyle w:val="6"/>
        <w:ind w:firstLine="640"/>
        <w:rPr>
          <w:rFonts w:ascii="Times New Roman" w:hAnsi="Times New Roman" w:eastAsia="仿宋" w:cs="Times New Roman"/>
          <w:sz w:val="32"/>
          <w:szCs w:val="32"/>
        </w:rPr>
      </w:pPr>
      <w:r>
        <w:rPr>
          <w:rFonts w:ascii="Times New Roman" w:hAnsi="Times New Roman" w:eastAsia="仿宋" w:cs="Times New Roman"/>
          <w:sz w:val="32"/>
          <w:szCs w:val="32"/>
        </w:rPr>
        <w:t>本方案拟安排建设项目为</w:t>
      </w:r>
      <w:r>
        <w:rPr>
          <w:rFonts w:hint="eastAsia" w:ascii="Times New Roman" w:hAnsi="Times New Roman" w:eastAsia="仿宋" w:cs="Times New Roman"/>
          <w:sz w:val="32"/>
          <w:szCs w:val="32"/>
        </w:rPr>
        <w:t>10</w:t>
      </w:r>
      <w:r>
        <w:rPr>
          <w:rFonts w:ascii="Times New Roman" w:hAnsi="Times New Roman" w:eastAsia="仿宋" w:cs="Times New Roman"/>
          <w:sz w:val="32"/>
          <w:szCs w:val="32"/>
        </w:rPr>
        <w:t>个，合计总面积为179.7210公顷</w:t>
      </w:r>
      <w:r>
        <w:rPr>
          <w:rFonts w:hint="eastAsia" w:ascii="Times New Roman" w:hAnsi="Times New Roman" w:eastAsia="仿宋" w:cs="Times New Roman"/>
          <w:sz w:val="32"/>
          <w:szCs w:val="32"/>
        </w:rPr>
        <w:t>（折合</w:t>
      </w:r>
      <w:r>
        <w:rPr>
          <w:rFonts w:ascii="Times New Roman" w:hAnsi="Times New Roman" w:eastAsia="仿宋" w:cs="Times New Roman"/>
          <w:sz w:val="32"/>
          <w:szCs w:val="32"/>
        </w:rPr>
        <w:t>2695.8150</w:t>
      </w:r>
      <w:r>
        <w:rPr>
          <w:rFonts w:hint="eastAsia" w:ascii="Times New Roman" w:hAnsi="Times New Roman" w:eastAsia="仿宋" w:cs="Times New Roman"/>
          <w:sz w:val="32"/>
          <w:szCs w:val="32"/>
        </w:rPr>
        <w:t>亩）</w:t>
      </w:r>
      <w:r>
        <w:rPr>
          <w:rFonts w:ascii="Times New Roman" w:hAnsi="Times New Roman" w:eastAsia="仿宋" w:cs="Times New Roman"/>
          <w:sz w:val="32"/>
          <w:szCs w:val="32"/>
        </w:rPr>
        <w:t>，计划实施时间为2020-2022年。具体实施计划内容详下表3：</w:t>
      </w:r>
    </w:p>
    <w:p>
      <w:pPr>
        <w:rPr>
          <w:rFonts w:ascii="Times New Roman" w:hAnsi="Times New Roman" w:eastAsia="仿宋"/>
          <w:b/>
          <w:bCs/>
          <w:szCs w:val="24"/>
        </w:rPr>
      </w:pPr>
      <w:r>
        <w:rPr>
          <w:rFonts w:ascii="Times New Roman" w:hAnsi="Times New Roman" w:eastAsia="仿宋"/>
          <w:b/>
          <w:bCs/>
          <w:szCs w:val="24"/>
        </w:rPr>
        <w:br w:type="page"/>
      </w:r>
    </w:p>
    <w:p>
      <w:pPr>
        <w:keepNext/>
        <w:spacing w:line="240" w:lineRule="auto"/>
        <w:ind w:firstLine="0" w:firstLineChars="0"/>
        <w:jc w:val="center"/>
        <w:outlineLvl w:val="4"/>
        <w:rPr>
          <w:rFonts w:ascii="Times New Roman" w:hAnsi="Times New Roman" w:eastAsia="仿宋"/>
          <w:b/>
          <w:bCs/>
          <w:szCs w:val="24"/>
        </w:rPr>
      </w:pPr>
      <w:r>
        <w:rPr>
          <w:rFonts w:ascii="Times New Roman" w:hAnsi="Times New Roman" w:eastAsia="仿宋"/>
          <w:b/>
          <w:bCs/>
          <w:szCs w:val="24"/>
        </w:rPr>
        <w:t>表3</w:t>
      </w:r>
      <w:r>
        <w:rPr>
          <w:rFonts w:hint="eastAsia" w:eastAsia="仿宋"/>
          <w:b/>
          <w:bCs/>
          <w:szCs w:val="24"/>
          <w:lang w:val="en-US" w:eastAsia="zh-CN"/>
        </w:rPr>
        <w:t xml:space="preserve"> </w:t>
      </w:r>
      <w:r>
        <w:rPr>
          <w:rFonts w:ascii="Times New Roman" w:hAnsi="Times New Roman" w:eastAsia="仿宋"/>
          <w:b/>
          <w:bCs/>
          <w:szCs w:val="24"/>
        </w:rPr>
        <w:t>成片开发年度实施计划表</w:t>
      </w:r>
    </w:p>
    <w:tbl>
      <w:tblPr>
        <w:tblStyle w:val="4"/>
        <w:tblW w:w="48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
        <w:gridCol w:w="1331"/>
        <w:gridCol w:w="1880"/>
        <w:gridCol w:w="881"/>
        <w:gridCol w:w="1087"/>
        <w:gridCol w:w="1163"/>
        <w:gridCol w:w="1706"/>
        <w:gridCol w:w="1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286"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bCs/>
                <w:kern w:val="0"/>
                <w:sz w:val="21"/>
              </w:rPr>
            </w:pPr>
            <w:r>
              <w:rPr>
                <w:rFonts w:ascii="Times New Roman" w:hAnsi="Times New Roman" w:eastAsia="仿宋"/>
                <w:b/>
                <w:bCs/>
                <w:kern w:val="0"/>
                <w:sz w:val="21"/>
              </w:rPr>
              <w:t>序号</w:t>
            </w:r>
          </w:p>
        </w:tc>
        <w:tc>
          <w:tcPr>
            <w:tcW w:w="692"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bCs/>
                <w:kern w:val="0"/>
                <w:sz w:val="21"/>
              </w:rPr>
            </w:pPr>
            <w:r>
              <w:rPr>
                <w:rFonts w:ascii="Times New Roman" w:hAnsi="Times New Roman" w:eastAsia="仿宋"/>
                <w:b/>
                <w:bCs/>
                <w:kern w:val="0"/>
                <w:sz w:val="21"/>
              </w:rPr>
              <w:t>片区名称</w:t>
            </w:r>
          </w:p>
        </w:tc>
        <w:tc>
          <w:tcPr>
            <w:tcW w:w="978"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bCs/>
                <w:kern w:val="0"/>
                <w:sz w:val="21"/>
              </w:rPr>
            </w:pPr>
            <w:r>
              <w:rPr>
                <w:rFonts w:ascii="Times New Roman" w:hAnsi="Times New Roman" w:eastAsia="仿宋"/>
                <w:b/>
                <w:bCs/>
                <w:kern w:val="0"/>
                <w:sz w:val="21"/>
              </w:rPr>
              <w:t>建设项目</w:t>
            </w:r>
          </w:p>
        </w:tc>
        <w:tc>
          <w:tcPr>
            <w:tcW w:w="458"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bCs/>
                <w:kern w:val="0"/>
                <w:sz w:val="21"/>
              </w:rPr>
            </w:pPr>
            <w:r>
              <w:rPr>
                <w:rFonts w:ascii="Times New Roman" w:hAnsi="Times New Roman" w:eastAsia="仿宋"/>
                <w:b/>
                <w:bCs/>
                <w:kern w:val="0"/>
                <w:sz w:val="21"/>
              </w:rPr>
              <w:t>开发时序</w:t>
            </w:r>
          </w:p>
        </w:tc>
        <w:tc>
          <w:tcPr>
            <w:tcW w:w="565"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bCs/>
                <w:kern w:val="0"/>
                <w:sz w:val="21"/>
              </w:rPr>
            </w:pPr>
            <w:r>
              <w:rPr>
                <w:rFonts w:ascii="Times New Roman" w:hAnsi="Times New Roman" w:eastAsia="仿宋"/>
                <w:b/>
                <w:bCs/>
                <w:kern w:val="0"/>
                <w:sz w:val="21"/>
              </w:rPr>
              <w:t>拟征收</w:t>
            </w:r>
          </w:p>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bCs/>
                <w:kern w:val="0"/>
                <w:sz w:val="21"/>
              </w:rPr>
            </w:pPr>
            <w:r>
              <w:rPr>
                <w:rFonts w:ascii="Times New Roman" w:hAnsi="Times New Roman" w:eastAsia="仿宋"/>
                <w:b/>
                <w:bCs/>
                <w:kern w:val="0"/>
                <w:sz w:val="21"/>
              </w:rPr>
              <w:t>面积</w:t>
            </w:r>
          </w:p>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bCs/>
                <w:kern w:val="0"/>
                <w:sz w:val="21"/>
              </w:rPr>
            </w:pPr>
            <w:r>
              <w:rPr>
                <w:rFonts w:ascii="Times New Roman" w:hAnsi="Times New Roman" w:eastAsia="仿宋"/>
                <w:b/>
                <w:bCs/>
                <w:kern w:val="0"/>
                <w:sz w:val="21"/>
              </w:rPr>
              <w:t>（公顷）</w:t>
            </w:r>
          </w:p>
        </w:tc>
        <w:tc>
          <w:tcPr>
            <w:tcW w:w="605"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bCs/>
                <w:kern w:val="0"/>
                <w:sz w:val="21"/>
              </w:rPr>
            </w:pPr>
            <w:r>
              <w:rPr>
                <w:rFonts w:ascii="Times New Roman" w:hAnsi="Times New Roman" w:eastAsia="仿宋"/>
                <w:b/>
                <w:bCs/>
                <w:kern w:val="0"/>
                <w:sz w:val="21"/>
              </w:rPr>
              <w:t>拟征收</w:t>
            </w:r>
          </w:p>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bCs/>
                <w:kern w:val="0"/>
                <w:sz w:val="21"/>
              </w:rPr>
            </w:pPr>
            <w:r>
              <w:rPr>
                <w:rFonts w:ascii="Times New Roman" w:hAnsi="Times New Roman" w:eastAsia="仿宋"/>
                <w:b/>
                <w:bCs/>
                <w:kern w:val="0"/>
                <w:sz w:val="21"/>
              </w:rPr>
              <w:t>面积</w:t>
            </w:r>
          </w:p>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bCs/>
                <w:kern w:val="0"/>
                <w:sz w:val="21"/>
              </w:rPr>
            </w:pPr>
            <w:r>
              <w:rPr>
                <w:rFonts w:ascii="Times New Roman" w:hAnsi="Times New Roman" w:eastAsia="仿宋"/>
                <w:b/>
                <w:bCs/>
                <w:kern w:val="0"/>
                <w:sz w:val="21"/>
              </w:rPr>
              <w:t>（亩）</w:t>
            </w:r>
          </w:p>
        </w:tc>
        <w:tc>
          <w:tcPr>
            <w:tcW w:w="888"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bCs/>
                <w:kern w:val="0"/>
                <w:sz w:val="21"/>
              </w:rPr>
            </w:pPr>
            <w:r>
              <w:rPr>
                <w:rFonts w:ascii="Times New Roman" w:hAnsi="Times New Roman" w:eastAsia="仿宋"/>
                <w:b/>
                <w:bCs/>
                <w:kern w:val="0"/>
                <w:sz w:val="21"/>
              </w:rPr>
              <w:t>涉及</w:t>
            </w:r>
          </w:p>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bCs/>
                <w:kern w:val="0"/>
                <w:sz w:val="21"/>
              </w:rPr>
            </w:pPr>
            <w:r>
              <w:rPr>
                <w:rFonts w:ascii="Times New Roman" w:hAnsi="Times New Roman" w:eastAsia="仿宋"/>
                <w:b/>
                <w:bCs/>
                <w:kern w:val="0"/>
                <w:sz w:val="21"/>
              </w:rPr>
              <w:t>经联社</w:t>
            </w:r>
          </w:p>
        </w:tc>
        <w:tc>
          <w:tcPr>
            <w:tcW w:w="523"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bCs/>
                <w:kern w:val="0"/>
                <w:sz w:val="21"/>
              </w:rPr>
            </w:pPr>
            <w:r>
              <w:rPr>
                <w:rFonts w:hint="eastAsia" w:ascii="Times New Roman" w:hAnsi="Times New Roman" w:eastAsia="仿宋"/>
                <w:b/>
                <w:bCs/>
                <w:kern w:val="0"/>
                <w:sz w:val="21"/>
              </w:rPr>
              <w:t>年度实施计划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86"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2"/>
              </w:rPr>
            </w:pPr>
            <w:r>
              <w:rPr>
                <w:rFonts w:ascii="Times New Roman" w:hAnsi="Times New Roman" w:eastAsia="仿宋"/>
                <w:kern w:val="0"/>
                <w:sz w:val="22"/>
              </w:rPr>
              <w:t>1</w:t>
            </w:r>
          </w:p>
        </w:tc>
        <w:tc>
          <w:tcPr>
            <w:tcW w:w="692"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sz w:val="22"/>
              </w:rPr>
            </w:pPr>
            <w:r>
              <w:rPr>
                <w:rFonts w:hint="eastAsia" w:ascii="Times New Roman" w:hAnsi="Times New Roman" w:eastAsia="仿宋"/>
                <w:sz w:val="22"/>
              </w:rPr>
              <w:t>电商物流园区</w:t>
            </w:r>
          </w:p>
        </w:tc>
        <w:tc>
          <w:tcPr>
            <w:tcW w:w="978"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电商物流园区</w:t>
            </w:r>
          </w:p>
        </w:tc>
        <w:tc>
          <w:tcPr>
            <w:tcW w:w="458"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2020-2022年</w:t>
            </w:r>
          </w:p>
        </w:tc>
        <w:tc>
          <w:tcPr>
            <w:tcW w:w="565"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2</w:t>
            </w:r>
            <w:r>
              <w:rPr>
                <w:rFonts w:ascii="Times New Roman" w:hAnsi="Times New Roman" w:eastAsia="仿宋"/>
                <w:kern w:val="0"/>
                <w:sz w:val="21"/>
              </w:rPr>
              <w:t>5.4170</w:t>
            </w:r>
          </w:p>
        </w:tc>
        <w:tc>
          <w:tcPr>
            <w:tcW w:w="605"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color w:val="000000"/>
                <w:kern w:val="0"/>
                <w:sz w:val="21"/>
                <w:szCs w:val="21"/>
              </w:rPr>
            </w:pPr>
            <w:r>
              <w:rPr>
                <w:rFonts w:ascii="Times New Roman" w:hAnsi="Times New Roman"/>
                <w:color w:val="000000"/>
                <w:sz w:val="21"/>
                <w:szCs w:val="21"/>
              </w:rPr>
              <w:t xml:space="preserve">381.2550 </w:t>
            </w:r>
          </w:p>
        </w:tc>
        <w:tc>
          <w:tcPr>
            <w:tcW w:w="888"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莲华、莲风、莲荣</w:t>
            </w:r>
          </w:p>
        </w:tc>
        <w:tc>
          <w:tcPr>
            <w:tcW w:w="523"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2022年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86"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2"/>
              </w:rPr>
            </w:pPr>
            <w:r>
              <w:rPr>
                <w:rFonts w:ascii="Times New Roman" w:hAnsi="Times New Roman" w:eastAsia="仿宋"/>
                <w:kern w:val="0"/>
                <w:sz w:val="22"/>
              </w:rPr>
              <w:t>2</w:t>
            </w:r>
          </w:p>
        </w:tc>
        <w:tc>
          <w:tcPr>
            <w:tcW w:w="692"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莲塘工业园片区</w:t>
            </w:r>
          </w:p>
        </w:tc>
        <w:tc>
          <w:tcPr>
            <w:tcW w:w="978"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莲塘工业园区片区</w:t>
            </w:r>
          </w:p>
        </w:tc>
        <w:tc>
          <w:tcPr>
            <w:tcW w:w="458"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2020-2022年</w:t>
            </w:r>
          </w:p>
        </w:tc>
        <w:tc>
          <w:tcPr>
            <w:tcW w:w="565"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3</w:t>
            </w:r>
            <w:r>
              <w:rPr>
                <w:rFonts w:ascii="Times New Roman" w:hAnsi="Times New Roman" w:eastAsia="仿宋"/>
                <w:kern w:val="0"/>
                <w:sz w:val="21"/>
              </w:rPr>
              <w:t>5.2267</w:t>
            </w:r>
          </w:p>
        </w:tc>
        <w:tc>
          <w:tcPr>
            <w:tcW w:w="605"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color w:val="000000"/>
                <w:sz w:val="21"/>
                <w:szCs w:val="21"/>
              </w:rPr>
            </w:pPr>
            <w:r>
              <w:rPr>
                <w:rFonts w:ascii="Times New Roman" w:hAnsi="Times New Roman"/>
                <w:color w:val="000000"/>
                <w:sz w:val="21"/>
                <w:szCs w:val="21"/>
              </w:rPr>
              <w:t xml:space="preserve">528.4005 </w:t>
            </w:r>
          </w:p>
        </w:tc>
        <w:tc>
          <w:tcPr>
            <w:tcW w:w="888"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莲华、莲风、莲荣、莲光、新辽、莲美、福岛</w:t>
            </w:r>
          </w:p>
        </w:tc>
        <w:tc>
          <w:tcPr>
            <w:tcW w:w="523"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2022年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86"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2"/>
              </w:rPr>
            </w:pPr>
            <w:r>
              <w:rPr>
                <w:rFonts w:ascii="Times New Roman" w:hAnsi="Times New Roman" w:eastAsia="仿宋"/>
                <w:kern w:val="0"/>
                <w:sz w:val="22"/>
              </w:rPr>
              <w:t>3</w:t>
            </w:r>
          </w:p>
        </w:tc>
        <w:tc>
          <w:tcPr>
            <w:tcW w:w="692"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sz w:val="22"/>
              </w:rPr>
            </w:pPr>
            <w:r>
              <w:rPr>
                <w:rFonts w:hint="eastAsia" w:ascii="Times New Roman" w:hAnsi="Times New Roman" w:eastAsia="仿宋"/>
                <w:sz w:val="22"/>
              </w:rPr>
              <w:t>汕头市金平区食品智慧产业园片区</w:t>
            </w:r>
          </w:p>
        </w:tc>
        <w:tc>
          <w:tcPr>
            <w:tcW w:w="978"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汕头市金平区食品智慧产业园片区</w:t>
            </w:r>
          </w:p>
        </w:tc>
        <w:tc>
          <w:tcPr>
            <w:tcW w:w="458"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2020-2022年</w:t>
            </w:r>
          </w:p>
        </w:tc>
        <w:tc>
          <w:tcPr>
            <w:tcW w:w="565"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49.1905</w:t>
            </w:r>
          </w:p>
        </w:tc>
        <w:tc>
          <w:tcPr>
            <w:tcW w:w="605"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 xml:space="preserve">737.8575 </w:t>
            </w:r>
          </w:p>
        </w:tc>
        <w:tc>
          <w:tcPr>
            <w:tcW w:w="888"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赤窖、月浦</w:t>
            </w:r>
          </w:p>
        </w:tc>
        <w:tc>
          <w:tcPr>
            <w:tcW w:w="523"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2022年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86"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2"/>
              </w:rPr>
            </w:pPr>
            <w:r>
              <w:rPr>
                <w:rFonts w:ascii="Times New Roman" w:hAnsi="Times New Roman" w:eastAsia="仿宋"/>
                <w:kern w:val="0"/>
                <w:sz w:val="22"/>
              </w:rPr>
              <w:t>4</w:t>
            </w:r>
          </w:p>
        </w:tc>
        <w:tc>
          <w:tcPr>
            <w:tcW w:w="692"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大港河产城融合项目一期片区一</w:t>
            </w:r>
          </w:p>
        </w:tc>
        <w:tc>
          <w:tcPr>
            <w:tcW w:w="978"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汕头市金平区2016年度第十三批次城市建设用地</w:t>
            </w:r>
          </w:p>
        </w:tc>
        <w:tc>
          <w:tcPr>
            <w:tcW w:w="458"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2020-2022年</w:t>
            </w:r>
          </w:p>
        </w:tc>
        <w:tc>
          <w:tcPr>
            <w:tcW w:w="565"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2.5983</w:t>
            </w:r>
          </w:p>
        </w:tc>
        <w:tc>
          <w:tcPr>
            <w:tcW w:w="605"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 xml:space="preserve">38.9745 </w:t>
            </w:r>
          </w:p>
        </w:tc>
        <w:tc>
          <w:tcPr>
            <w:tcW w:w="888"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木坑</w:t>
            </w:r>
          </w:p>
        </w:tc>
        <w:tc>
          <w:tcPr>
            <w:tcW w:w="523"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2020年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86" w:type="pct"/>
            <w:shd w:val="clear" w:color="auto" w:fill="auto"/>
            <w:noWrap/>
            <w:vAlign w:val="center"/>
          </w:tcPr>
          <w:p>
            <w:pPr>
              <w:keepNext/>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2"/>
              </w:rPr>
            </w:pPr>
            <w:r>
              <w:rPr>
                <w:rFonts w:hint="eastAsia" w:ascii="Times New Roman" w:hAnsi="Times New Roman" w:eastAsia="仿宋"/>
                <w:kern w:val="0"/>
                <w:sz w:val="22"/>
              </w:rPr>
              <w:t>5</w:t>
            </w:r>
          </w:p>
        </w:tc>
        <w:tc>
          <w:tcPr>
            <w:tcW w:w="692" w:type="pct"/>
            <w:shd w:val="clear" w:color="auto" w:fill="auto"/>
            <w:vAlign w:val="center"/>
          </w:tcPr>
          <w:p>
            <w:pPr>
              <w:keepNext/>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kern w:val="0"/>
                <w:sz w:val="21"/>
              </w:rPr>
            </w:pPr>
            <w:r>
              <w:rPr>
                <w:rFonts w:hint="eastAsia" w:ascii="Times New Roman" w:hAnsi="Times New Roman" w:eastAsia="仿宋"/>
                <w:kern w:val="0"/>
                <w:sz w:val="21"/>
              </w:rPr>
              <w:t>大港河产城融合项目一期片区一</w:t>
            </w:r>
          </w:p>
        </w:tc>
        <w:tc>
          <w:tcPr>
            <w:tcW w:w="978" w:type="pct"/>
            <w:shd w:val="clear" w:color="auto" w:fill="auto"/>
            <w:noWrap/>
            <w:vAlign w:val="center"/>
          </w:tcPr>
          <w:p>
            <w:pPr>
              <w:keepNext/>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汕头市金平区2017年度第四批次城市建设用地</w:t>
            </w:r>
          </w:p>
        </w:tc>
        <w:tc>
          <w:tcPr>
            <w:tcW w:w="458" w:type="pct"/>
            <w:shd w:val="clear" w:color="auto" w:fill="auto"/>
            <w:noWrap/>
            <w:vAlign w:val="center"/>
          </w:tcPr>
          <w:p>
            <w:pPr>
              <w:keepNext/>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2020-2022年</w:t>
            </w:r>
          </w:p>
        </w:tc>
        <w:tc>
          <w:tcPr>
            <w:tcW w:w="565" w:type="pct"/>
            <w:shd w:val="clear" w:color="auto" w:fill="auto"/>
            <w:noWrap/>
            <w:vAlign w:val="center"/>
          </w:tcPr>
          <w:p>
            <w:pPr>
              <w:keepNext/>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10.0938</w:t>
            </w:r>
          </w:p>
        </w:tc>
        <w:tc>
          <w:tcPr>
            <w:tcW w:w="605"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 xml:space="preserve">151.4070 </w:t>
            </w:r>
          </w:p>
        </w:tc>
        <w:tc>
          <w:tcPr>
            <w:tcW w:w="888" w:type="pct"/>
            <w:vAlign w:val="center"/>
          </w:tcPr>
          <w:p>
            <w:pPr>
              <w:keepNext/>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木坑、夏趾、云露、桥头</w:t>
            </w:r>
          </w:p>
        </w:tc>
        <w:tc>
          <w:tcPr>
            <w:tcW w:w="523" w:type="pct"/>
            <w:vAlign w:val="center"/>
          </w:tcPr>
          <w:p>
            <w:pPr>
              <w:keepNext/>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2020年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86" w:type="pct"/>
            <w:shd w:val="clear" w:color="auto" w:fill="auto"/>
            <w:noWrap/>
            <w:vAlign w:val="center"/>
          </w:tcPr>
          <w:p>
            <w:pPr>
              <w:keepNext/>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2"/>
              </w:rPr>
            </w:pPr>
            <w:r>
              <w:rPr>
                <w:rFonts w:hint="eastAsia" w:ascii="Times New Roman" w:hAnsi="Times New Roman" w:eastAsia="仿宋"/>
                <w:kern w:val="0"/>
                <w:sz w:val="22"/>
              </w:rPr>
              <w:t>6</w:t>
            </w:r>
          </w:p>
        </w:tc>
        <w:tc>
          <w:tcPr>
            <w:tcW w:w="692" w:type="pct"/>
            <w:shd w:val="clear" w:color="auto" w:fill="auto"/>
            <w:vAlign w:val="center"/>
          </w:tcPr>
          <w:p>
            <w:pPr>
              <w:keepNext/>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大港河产城融合项目一期片区一</w:t>
            </w:r>
          </w:p>
        </w:tc>
        <w:tc>
          <w:tcPr>
            <w:tcW w:w="978" w:type="pct"/>
            <w:shd w:val="clear" w:color="auto" w:fill="auto"/>
            <w:noWrap/>
            <w:vAlign w:val="center"/>
          </w:tcPr>
          <w:p>
            <w:pPr>
              <w:keepNext/>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汕头市金平区2018年度第一批次城市建设用地一</w:t>
            </w:r>
          </w:p>
        </w:tc>
        <w:tc>
          <w:tcPr>
            <w:tcW w:w="458" w:type="pct"/>
            <w:shd w:val="clear" w:color="auto" w:fill="auto"/>
            <w:noWrap/>
            <w:vAlign w:val="center"/>
          </w:tcPr>
          <w:p>
            <w:pPr>
              <w:keepNext/>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2020-2022年</w:t>
            </w:r>
          </w:p>
        </w:tc>
        <w:tc>
          <w:tcPr>
            <w:tcW w:w="565" w:type="pct"/>
            <w:shd w:val="clear" w:color="auto" w:fill="auto"/>
            <w:noWrap/>
            <w:vAlign w:val="center"/>
          </w:tcPr>
          <w:p>
            <w:pPr>
              <w:keepNext/>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8</w:t>
            </w:r>
            <w:r>
              <w:rPr>
                <w:rFonts w:ascii="Times New Roman" w:hAnsi="Times New Roman" w:eastAsia="仿宋"/>
                <w:kern w:val="0"/>
                <w:sz w:val="21"/>
              </w:rPr>
              <w:t>.6020</w:t>
            </w:r>
          </w:p>
        </w:tc>
        <w:tc>
          <w:tcPr>
            <w:tcW w:w="605"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 xml:space="preserve">129.0300 </w:t>
            </w:r>
          </w:p>
        </w:tc>
        <w:tc>
          <w:tcPr>
            <w:tcW w:w="888" w:type="pct"/>
            <w:vAlign w:val="center"/>
          </w:tcPr>
          <w:p>
            <w:pPr>
              <w:keepNext/>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夏趾</w:t>
            </w:r>
          </w:p>
        </w:tc>
        <w:tc>
          <w:tcPr>
            <w:tcW w:w="523" w:type="pct"/>
            <w:vAlign w:val="center"/>
          </w:tcPr>
          <w:p>
            <w:pPr>
              <w:keepNext/>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2020年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86"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2"/>
              </w:rPr>
            </w:pPr>
            <w:r>
              <w:rPr>
                <w:rFonts w:ascii="Times New Roman" w:hAnsi="Times New Roman" w:eastAsia="仿宋"/>
                <w:kern w:val="0"/>
                <w:sz w:val="22"/>
              </w:rPr>
              <w:t>7</w:t>
            </w:r>
          </w:p>
        </w:tc>
        <w:tc>
          <w:tcPr>
            <w:tcW w:w="692" w:type="pct"/>
            <w:shd w:val="clear" w:color="auto" w:fill="auto"/>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大港河产城融合项目一期片区二</w:t>
            </w:r>
          </w:p>
        </w:tc>
        <w:tc>
          <w:tcPr>
            <w:tcW w:w="978"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 xml:space="preserve">汕头市金平区2018年度第一批次城市建设用地二 </w:t>
            </w:r>
          </w:p>
        </w:tc>
        <w:tc>
          <w:tcPr>
            <w:tcW w:w="458"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2020-2022年</w:t>
            </w:r>
          </w:p>
        </w:tc>
        <w:tc>
          <w:tcPr>
            <w:tcW w:w="565"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17.1781</w:t>
            </w:r>
          </w:p>
        </w:tc>
        <w:tc>
          <w:tcPr>
            <w:tcW w:w="605"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 xml:space="preserve">257.6715 </w:t>
            </w:r>
          </w:p>
        </w:tc>
        <w:tc>
          <w:tcPr>
            <w:tcW w:w="888"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木坑、夏趾、云露、桥头</w:t>
            </w:r>
          </w:p>
        </w:tc>
        <w:tc>
          <w:tcPr>
            <w:tcW w:w="523"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2020年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86"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Cs/>
                <w:kern w:val="0"/>
                <w:sz w:val="22"/>
              </w:rPr>
            </w:pPr>
            <w:r>
              <w:rPr>
                <w:rFonts w:ascii="Times New Roman" w:hAnsi="Times New Roman" w:eastAsia="仿宋"/>
                <w:bCs/>
                <w:kern w:val="0"/>
                <w:sz w:val="22"/>
              </w:rPr>
              <w:t>8</w:t>
            </w:r>
          </w:p>
        </w:tc>
        <w:tc>
          <w:tcPr>
            <w:tcW w:w="692"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2"/>
              </w:rPr>
            </w:pPr>
            <w:r>
              <w:rPr>
                <w:rFonts w:hint="eastAsia" w:ascii="Times New Roman" w:hAnsi="Times New Roman" w:eastAsia="仿宋"/>
                <w:kern w:val="0"/>
                <w:sz w:val="22"/>
              </w:rPr>
              <w:t>金平工业园区现代产业集聚区西片区一</w:t>
            </w:r>
          </w:p>
        </w:tc>
        <w:tc>
          <w:tcPr>
            <w:tcW w:w="978"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kern w:val="0"/>
                <w:sz w:val="22"/>
              </w:rPr>
            </w:pPr>
            <w:r>
              <w:rPr>
                <w:rFonts w:hint="eastAsia" w:ascii="Times New Roman" w:hAnsi="Times New Roman" w:eastAsia="仿宋"/>
                <w:kern w:val="0"/>
                <w:sz w:val="22"/>
              </w:rPr>
              <w:t>汕头市2013年度第十四批次城市建设用地一</w:t>
            </w:r>
          </w:p>
        </w:tc>
        <w:tc>
          <w:tcPr>
            <w:tcW w:w="458"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2020-2022年</w:t>
            </w:r>
          </w:p>
        </w:tc>
        <w:tc>
          <w:tcPr>
            <w:tcW w:w="565"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5.4311</w:t>
            </w:r>
          </w:p>
        </w:tc>
        <w:tc>
          <w:tcPr>
            <w:tcW w:w="605"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 xml:space="preserve">81.4665 </w:t>
            </w:r>
          </w:p>
        </w:tc>
        <w:tc>
          <w:tcPr>
            <w:tcW w:w="888"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kern w:val="0"/>
                <w:sz w:val="22"/>
              </w:rPr>
            </w:pPr>
            <w:r>
              <w:rPr>
                <w:rFonts w:hint="eastAsia" w:ascii="Times New Roman" w:hAnsi="Times New Roman" w:eastAsia="仿宋"/>
                <w:kern w:val="0"/>
                <w:sz w:val="21"/>
              </w:rPr>
              <w:t>山兜、蓬洲东、蓬洲南、蓬洲西、蓬洲北、举登、港美</w:t>
            </w:r>
          </w:p>
        </w:tc>
        <w:tc>
          <w:tcPr>
            <w:tcW w:w="523"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202</w:t>
            </w:r>
            <w:r>
              <w:rPr>
                <w:rFonts w:ascii="Times New Roman" w:hAnsi="Times New Roman" w:eastAsia="仿宋"/>
                <w:kern w:val="0"/>
                <w:sz w:val="21"/>
              </w:rPr>
              <w:t>0</w:t>
            </w:r>
            <w:r>
              <w:rPr>
                <w:rFonts w:hint="eastAsia" w:ascii="Times New Roman" w:hAnsi="Times New Roman" w:eastAsia="仿宋"/>
                <w:kern w:val="0"/>
                <w:sz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86"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Cs/>
                <w:kern w:val="0"/>
                <w:sz w:val="22"/>
              </w:rPr>
            </w:pPr>
            <w:r>
              <w:rPr>
                <w:rFonts w:ascii="Times New Roman" w:hAnsi="Times New Roman" w:eastAsia="仿宋"/>
                <w:bCs/>
                <w:kern w:val="0"/>
                <w:sz w:val="22"/>
              </w:rPr>
              <w:t>9</w:t>
            </w:r>
          </w:p>
        </w:tc>
        <w:tc>
          <w:tcPr>
            <w:tcW w:w="692"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2"/>
              </w:rPr>
            </w:pPr>
            <w:r>
              <w:rPr>
                <w:rFonts w:hint="eastAsia" w:ascii="Times New Roman" w:hAnsi="Times New Roman" w:eastAsia="仿宋"/>
                <w:kern w:val="0"/>
                <w:sz w:val="22"/>
              </w:rPr>
              <w:t>金平工业园区现代产业集聚区西片区二</w:t>
            </w:r>
          </w:p>
        </w:tc>
        <w:tc>
          <w:tcPr>
            <w:tcW w:w="978"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2"/>
              </w:rPr>
            </w:pPr>
            <w:r>
              <w:rPr>
                <w:rFonts w:hint="eastAsia" w:ascii="Times New Roman" w:hAnsi="Times New Roman" w:eastAsia="仿宋"/>
                <w:kern w:val="0"/>
                <w:sz w:val="22"/>
              </w:rPr>
              <w:t>汕头市2013年度第十四批次城市建设用地二</w:t>
            </w:r>
          </w:p>
        </w:tc>
        <w:tc>
          <w:tcPr>
            <w:tcW w:w="458"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2020-2022年</w:t>
            </w:r>
          </w:p>
        </w:tc>
        <w:tc>
          <w:tcPr>
            <w:tcW w:w="565"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2</w:t>
            </w:r>
            <w:r>
              <w:rPr>
                <w:rFonts w:ascii="Times New Roman" w:hAnsi="Times New Roman" w:eastAsia="仿宋"/>
                <w:kern w:val="0"/>
                <w:sz w:val="21"/>
              </w:rPr>
              <w:t>.3561</w:t>
            </w:r>
          </w:p>
        </w:tc>
        <w:tc>
          <w:tcPr>
            <w:tcW w:w="605"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 xml:space="preserve">35.3415 </w:t>
            </w:r>
          </w:p>
        </w:tc>
        <w:tc>
          <w:tcPr>
            <w:tcW w:w="888"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举登、金陇、港美</w:t>
            </w:r>
          </w:p>
        </w:tc>
        <w:tc>
          <w:tcPr>
            <w:tcW w:w="523"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2</w:t>
            </w:r>
            <w:r>
              <w:rPr>
                <w:rFonts w:ascii="Times New Roman" w:hAnsi="Times New Roman" w:eastAsia="仿宋"/>
                <w:kern w:val="0"/>
                <w:sz w:val="21"/>
              </w:rPr>
              <w:t>020</w:t>
            </w:r>
            <w:r>
              <w:rPr>
                <w:rFonts w:hint="eastAsia" w:ascii="Times New Roman" w:hAnsi="Times New Roman" w:eastAsia="仿宋"/>
                <w:kern w:val="0"/>
                <w:sz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86" w:type="pct"/>
            <w:shd w:val="clear" w:color="auto" w:fill="auto"/>
            <w:noWrap/>
            <w:vAlign w:val="center"/>
          </w:tcPr>
          <w:p>
            <w:pPr>
              <w:keepNext/>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Cs/>
                <w:kern w:val="0"/>
                <w:sz w:val="22"/>
              </w:rPr>
            </w:pPr>
            <w:r>
              <w:rPr>
                <w:rFonts w:ascii="Times New Roman" w:hAnsi="Times New Roman" w:eastAsia="仿宋"/>
                <w:bCs/>
                <w:kern w:val="0"/>
                <w:sz w:val="22"/>
              </w:rPr>
              <w:t>10</w:t>
            </w:r>
          </w:p>
        </w:tc>
        <w:tc>
          <w:tcPr>
            <w:tcW w:w="692" w:type="pct"/>
            <w:shd w:val="clear" w:color="auto" w:fill="auto"/>
            <w:noWrap/>
            <w:vAlign w:val="center"/>
          </w:tcPr>
          <w:p>
            <w:pPr>
              <w:keepNext/>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2"/>
              </w:rPr>
            </w:pPr>
            <w:r>
              <w:rPr>
                <w:rFonts w:hint="eastAsia" w:ascii="Times New Roman" w:hAnsi="Times New Roman" w:eastAsia="仿宋"/>
                <w:kern w:val="0"/>
                <w:sz w:val="22"/>
              </w:rPr>
              <w:t>金平工业园区现代产业集聚区西片区二</w:t>
            </w:r>
          </w:p>
        </w:tc>
        <w:tc>
          <w:tcPr>
            <w:tcW w:w="978" w:type="pct"/>
            <w:shd w:val="clear" w:color="auto" w:fill="auto"/>
            <w:noWrap/>
            <w:vAlign w:val="center"/>
          </w:tcPr>
          <w:p>
            <w:pPr>
              <w:keepNext/>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2"/>
              </w:rPr>
            </w:pPr>
            <w:r>
              <w:rPr>
                <w:rFonts w:hint="eastAsia" w:ascii="Times New Roman" w:hAnsi="Times New Roman" w:eastAsia="仿宋"/>
                <w:kern w:val="0"/>
                <w:sz w:val="22"/>
              </w:rPr>
              <w:t>集聚区举登片</w:t>
            </w:r>
          </w:p>
        </w:tc>
        <w:tc>
          <w:tcPr>
            <w:tcW w:w="458" w:type="pct"/>
            <w:shd w:val="clear" w:color="auto" w:fill="auto"/>
            <w:noWrap/>
            <w:vAlign w:val="center"/>
          </w:tcPr>
          <w:p>
            <w:pPr>
              <w:keepNext/>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2020-2022年</w:t>
            </w:r>
          </w:p>
        </w:tc>
        <w:tc>
          <w:tcPr>
            <w:tcW w:w="565" w:type="pct"/>
            <w:shd w:val="clear" w:color="auto" w:fill="auto"/>
            <w:noWrap/>
            <w:vAlign w:val="center"/>
          </w:tcPr>
          <w:p>
            <w:pPr>
              <w:keepNext/>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ascii="Times New Roman" w:hAnsi="Times New Roman" w:eastAsia="仿宋"/>
                <w:kern w:val="0"/>
                <w:sz w:val="21"/>
              </w:rPr>
              <w:t>23.6274</w:t>
            </w:r>
          </w:p>
        </w:tc>
        <w:tc>
          <w:tcPr>
            <w:tcW w:w="605" w:type="pct"/>
            <w:vAlign w:val="center"/>
          </w:tcPr>
          <w:p>
            <w:pPr>
              <w:keepNext/>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color w:val="000000"/>
                <w:kern w:val="0"/>
                <w:sz w:val="21"/>
                <w:szCs w:val="21"/>
              </w:rPr>
            </w:pPr>
            <w:r>
              <w:rPr>
                <w:rFonts w:ascii="Times New Roman" w:hAnsi="Times New Roman"/>
                <w:color w:val="000000"/>
                <w:sz w:val="21"/>
                <w:szCs w:val="21"/>
              </w:rPr>
              <w:t xml:space="preserve">354.4110 </w:t>
            </w:r>
          </w:p>
        </w:tc>
        <w:tc>
          <w:tcPr>
            <w:tcW w:w="888" w:type="pct"/>
            <w:vAlign w:val="center"/>
          </w:tcPr>
          <w:p>
            <w:pPr>
              <w:keepNext/>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举登</w:t>
            </w:r>
          </w:p>
        </w:tc>
        <w:tc>
          <w:tcPr>
            <w:tcW w:w="523" w:type="pct"/>
            <w:vAlign w:val="center"/>
          </w:tcPr>
          <w:p>
            <w:pPr>
              <w:keepNext/>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kern w:val="0"/>
                <w:sz w:val="21"/>
              </w:rPr>
            </w:pPr>
            <w:r>
              <w:rPr>
                <w:rFonts w:hint="eastAsia" w:ascii="Times New Roman" w:hAnsi="Times New Roman" w:eastAsia="仿宋"/>
                <w:kern w:val="0"/>
                <w:sz w:val="21"/>
              </w:rPr>
              <w:t>2</w:t>
            </w:r>
            <w:r>
              <w:rPr>
                <w:rFonts w:ascii="Times New Roman" w:hAnsi="Times New Roman" w:eastAsia="仿宋"/>
                <w:kern w:val="0"/>
                <w:sz w:val="21"/>
              </w:rPr>
              <w:t>022</w:t>
            </w:r>
            <w:r>
              <w:rPr>
                <w:rFonts w:hint="eastAsia" w:ascii="Times New Roman" w:hAnsi="Times New Roman" w:eastAsia="仿宋"/>
                <w:kern w:val="0"/>
                <w:sz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958" w:type="pct"/>
            <w:gridSpan w:val="3"/>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kern w:val="0"/>
                <w:sz w:val="22"/>
              </w:rPr>
            </w:pPr>
            <w:r>
              <w:rPr>
                <w:rFonts w:ascii="Times New Roman" w:hAnsi="Times New Roman" w:eastAsia="仿宋"/>
                <w:b/>
                <w:kern w:val="0"/>
                <w:sz w:val="22"/>
              </w:rPr>
              <w:t>合计</w:t>
            </w:r>
          </w:p>
        </w:tc>
        <w:tc>
          <w:tcPr>
            <w:tcW w:w="458"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kern w:val="0"/>
                <w:sz w:val="22"/>
              </w:rPr>
            </w:pPr>
            <w:r>
              <w:rPr>
                <w:rFonts w:ascii="Times New Roman" w:hAnsi="Times New Roman" w:eastAsia="仿宋"/>
                <w:b/>
                <w:kern w:val="0"/>
                <w:sz w:val="22"/>
              </w:rPr>
              <w:t>——</w:t>
            </w:r>
          </w:p>
        </w:tc>
        <w:tc>
          <w:tcPr>
            <w:tcW w:w="565" w:type="pct"/>
            <w:shd w:val="clear" w:color="auto" w:fill="auto"/>
            <w:noWrap/>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bCs/>
                <w:kern w:val="0"/>
                <w:sz w:val="21"/>
              </w:rPr>
            </w:pPr>
            <w:r>
              <w:rPr>
                <w:rFonts w:hint="eastAsia" w:ascii="Times New Roman" w:hAnsi="Times New Roman" w:eastAsia="仿宋"/>
                <w:b/>
                <w:bCs/>
                <w:kern w:val="0"/>
                <w:sz w:val="21"/>
              </w:rPr>
              <w:t>1</w:t>
            </w:r>
            <w:r>
              <w:rPr>
                <w:rFonts w:ascii="Times New Roman" w:hAnsi="Times New Roman" w:eastAsia="仿宋"/>
                <w:b/>
                <w:bCs/>
                <w:kern w:val="0"/>
                <w:sz w:val="21"/>
              </w:rPr>
              <w:t>79.7210</w:t>
            </w:r>
          </w:p>
        </w:tc>
        <w:tc>
          <w:tcPr>
            <w:tcW w:w="605"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bCs/>
                <w:kern w:val="0"/>
                <w:sz w:val="21"/>
              </w:rPr>
            </w:pPr>
            <w:r>
              <w:rPr>
                <w:rFonts w:ascii="Times New Roman" w:hAnsi="Times New Roman" w:eastAsia="仿宋"/>
                <w:b/>
                <w:bCs/>
                <w:kern w:val="0"/>
                <w:sz w:val="21"/>
              </w:rPr>
              <w:t>2695.8150</w:t>
            </w:r>
          </w:p>
        </w:tc>
        <w:tc>
          <w:tcPr>
            <w:tcW w:w="888"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kern w:val="0"/>
                <w:sz w:val="22"/>
              </w:rPr>
            </w:pPr>
            <w:r>
              <w:rPr>
                <w:rFonts w:ascii="Times New Roman" w:hAnsi="Times New Roman" w:eastAsia="仿宋"/>
                <w:b/>
                <w:kern w:val="0"/>
                <w:sz w:val="22"/>
              </w:rPr>
              <w:t>——</w:t>
            </w:r>
          </w:p>
        </w:tc>
        <w:tc>
          <w:tcPr>
            <w:tcW w:w="523" w:type="pct"/>
            <w:vAlign w:val="center"/>
          </w:tcPr>
          <w:p>
            <w:pPr>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仿宋"/>
                <w:b/>
                <w:kern w:val="0"/>
                <w:sz w:val="22"/>
              </w:rPr>
            </w:pPr>
            <w:r>
              <w:rPr>
                <w:rFonts w:hint="eastAsia" w:ascii="Times New Roman" w:hAnsi="Times New Roman" w:eastAsia="仿宋"/>
                <w:b/>
                <w:kern w:val="0"/>
                <w:sz w:val="22"/>
              </w:rPr>
              <w:t>——</w:t>
            </w:r>
          </w:p>
        </w:tc>
      </w:tr>
    </w:tbl>
    <w:p>
      <w:pPr>
        <w:pStyle w:val="6"/>
        <w:spacing w:line="740" w:lineRule="exact"/>
        <w:ind w:firstLine="643"/>
        <w:outlineLvl w:val="0"/>
        <w:rPr>
          <w:rFonts w:ascii="Times New Roman" w:hAnsi="Times New Roman" w:eastAsia="仿宋" w:cs="Times New Roman"/>
          <w:b/>
          <w:bCs/>
          <w:kern w:val="44"/>
          <w:sz w:val="32"/>
          <w:szCs w:val="44"/>
        </w:rPr>
      </w:pPr>
      <w:r>
        <w:rPr>
          <w:rFonts w:ascii="Times New Roman" w:hAnsi="Times New Roman" w:eastAsia="仿宋" w:cs="Times New Roman"/>
          <w:b/>
          <w:bCs/>
          <w:kern w:val="44"/>
          <w:sz w:val="32"/>
          <w:szCs w:val="44"/>
        </w:rPr>
        <w:t>六、成片开发的可行性</w:t>
      </w:r>
    </w:p>
    <w:p>
      <w:pPr>
        <w:pStyle w:val="6"/>
        <w:spacing w:line="700" w:lineRule="exact"/>
        <w:ind w:firstLine="643"/>
        <w:rPr>
          <w:rFonts w:ascii="Times New Roman" w:hAnsi="Times New Roman" w:eastAsia="仿宋" w:cs="Times New Roman"/>
          <w:b/>
          <w:bCs/>
          <w:kern w:val="44"/>
          <w:sz w:val="32"/>
          <w:szCs w:val="44"/>
        </w:rPr>
      </w:pPr>
      <w:r>
        <w:rPr>
          <w:rFonts w:ascii="Times New Roman" w:hAnsi="Times New Roman" w:eastAsia="仿宋" w:cs="Times New Roman"/>
          <w:b/>
          <w:bCs/>
          <w:kern w:val="44"/>
          <w:sz w:val="32"/>
          <w:szCs w:val="44"/>
        </w:rPr>
        <w:t>（一）规划衔接情况分析</w:t>
      </w:r>
    </w:p>
    <w:p>
      <w:pPr>
        <w:pStyle w:val="6"/>
        <w:ind w:firstLine="640"/>
        <w:rPr>
          <w:rFonts w:ascii="Times New Roman" w:hAnsi="Times New Roman" w:eastAsia="仿宋" w:cs="Times New Roman"/>
          <w:sz w:val="32"/>
          <w:szCs w:val="32"/>
        </w:rPr>
      </w:pPr>
      <w:r>
        <w:rPr>
          <w:rFonts w:ascii="Times New Roman" w:hAnsi="Times New Roman" w:eastAsia="仿宋" w:cs="Times New Roman"/>
          <w:sz w:val="32"/>
          <w:szCs w:val="32"/>
        </w:rPr>
        <w:t>1、《方案》符合</w:t>
      </w:r>
      <w:r>
        <w:rPr>
          <w:rFonts w:hint="eastAsia" w:ascii="Times New Roman" w:hAnsi="Times New Roman" w:eastAsia="仿宋" w:cs="Times New Roman"/>
          <w:sz w:val="32"/>
          <w:szCs w:val="32"/>
        </w:rPr>
        <w:t>金平区</w:t>
      </w:r>
      <w:r>
        <w:rPr>
          <w:rFonts w:ascii="Times New Roman" w:hAnsi="Times New Roman" w:eastAsia="仿宋" w:cs="Times New Roman"/>
          <w:sz w:val="32"/>
          <w:szCs w:val="32"/>
        </w:rPr>
        <w:t>国民经济和社会发展“十四五”规划</w:t>
      </w:r>
      <w:r>
        <w:rPr>
          <w:rFonts w:hint="eastAsia" w:ascii="Times New Roman" w:hAnsi="Times New Roman" w:eastAsia="仿宋" w:cs="Times New Roman"/>
          <w:sz w:val="32"/>
          <w:szCs w:val="32"/>
        </w:rPr>
        <w:t>和金平区2022年</w:t>
      </w:r>
      <w:r>
        <w:rPr>
          <w:rFonts w:ascii="Times New Roman" w:hAnsi="Times New Roman" w:eastAsia="仿宋" w:cs="Times New Roman"/>
          <w:sz w:val="32"/>
          <w:szCs w:val="32"/>
        </w:rPr>
        <w:t>国民经济和社会发展</w:t>
      </w:r>
      <w:r>
        <w:rPr>
          <w:rFonts w:hint="eastAsia" w:ascii="Times New Roman" w:hAnsi="Times New Roman" w:eastAsia="仿宋" w:cs="Times New Roman"/>
          <w:sz w:val="32"/>
          <w:szCs w:val="32"/>
        </w:rPr>
        <w:t>计划的要求</w:t>
      </w:r>
      <w:r>
        <w:rPr>
          <w:rFonts w:ascii="Times New Roman" w:hAnsi="Times New Roman" w:eastAsia="仿宋" w:cs="Times New Roman"/>
          <w:sz w:val="32"/>
          <w:szCs w:val="32"/>
        </w:rPr>
        <w:t>。</w:t>
      </w:r>
    </w:p>
    <w:p>
      <w:pPr>
        <w:pStyle w:val="6"/>
        <w:ind w:firstLine="640"/>
        <w:rPr>
          <w:rFonts w:ascii="Times New Roman" w:hAnsi="Times New Roman" w:eastAsia="仿宋" w:cs="Times New Roman"/>
          <w:sz w:val="32"/>
          <w:szCs w:val="32"/>
        </w:rPr>
      </w:pPr>
      <w:r>
        <w:rPr>
          <w:rFonts w:hint="eastAsia" w:ascii="Times New Roman" w:hAnsi="Times New Roman" w:eastAsia="仿宋" w:cs="Times New Roman"/>
          <w:sz w:val="32"/>
          <w:szCs w:val="32"/>
        </w:rPr>
        <w:t>2、《方案》成片开发范围均位于国土空间规划城镇开发边界的集中建设区。</w:t>
      </w:r>
    </w:p>
    <w:p>
      <w:pPr>
        <w:pStyle w:val="6"/>
        <w:ind w:firstLine="640"/>
        <w:rPr>
          <w:rFonts w:ascii="Times New Roman" w:hAnsi="Times New Roman" w:eastAsia="仿宋"/>
          <w:sz w:val="32"/>
          <w:szCs w:val="32"/>
        </w:rPr>
      </w:pPr>
      <w:r>
        <w:rPr>
          <w:rFonts w:hint="eastAsia" w:ascii="Times New Roman" w:hAnsi="Times New Roman" w:eastAsia="仿宋" w:cs="Times New Roman"/>
          <w:sz w:val="32"/>
          <w:szCs w:val="32"/>
        </w:rPr>
        <w:t>3</w:t>
      </w:r>
      <w:r>
        <w:rPr>
          <w:rFonts w:ascii="Times New Roman" w:hAnsi="Times New Roman" w:eastAsia="仿宋" w:cs="Times New Roman"/>
          <w:sz w:val="32"/>
          <w:szCs w:val="32"/>
        </w:rPr>
        <w:t>、征收范围均位于土地利用总体规划确定的城镇建设用地范围内。</w:t>
      </w:r>
    </w:p>
    <w:p>
      <w:pPr>
        <w:pStyle w:val="6"/>
        <w:spacing w:line="700" w:lineRule="exact"/>
        <w:ind w:firstLine="643"/>
        <w:rPr>
          <w:rFonts w:ascii="Times New Roman" w:hAnsi="Times New Roman" w:eastAsia="仿宋" w:cs="Times New Roman"/>
          <w:b/>
          <w:bCs/>
          <w:kern w:val="44"/>
          <w:sz w:val="32"/>
          <w:szCs w:val="44"/>
        </w:rPr>
      </w:pPr>
      <w:r>
        <w:rPr>
          <w:rFonts w:ascii="Times New Roman" w:hAnsi="Times New Roman" w:eastAsia="仿宋" w:cs="Times New Roman"/>
          <w:b/>
          <w:bCs/>
          <w:kern w:val="44"/>
          <w:sz w:val="32"/>
          <w:szCs w:val="44"/>
        </w:rPr>
        <w:t>（二）政策符合情况分析</w:t>
      </w:r>
    </w:p>
    <w:p>
      <w:pPr>
        <w:pStyle w:val="6"/>
        <w:ind w:firstLine="640"/>
        <w:rPr>
          <w:rFonts w:ascii="Times New Roman" w:hAnsi="Times New Roman" w:eastAsia="仿宋" w:cs="Times New Roman"/>
          <w:sz w:val="32"/>
          <w:szCs w:val="32"/>
        </w:rPr>
      </w:pPr>
      <w:r>
        <w:rPr>
          <w:rFonts w:ascii="Times New Roman" w:hAnsi="Times New Roman" w:eastAsia="仿宋" w:cs="Times New Roman"/>
          <w:sz w:val="32"/>
          <w:szCs w:val="32"/>
        </w:rPr>
        <w:t>1、不涉及占用永久性基本农田和生态保护红线。</w:t>
      </w:r>
    </w:p>
    <w:p>
      <w:pPr>
        <w:pStyle w:val="6"/>
        <w:ind w:firstLine="640"/>
        <w:rPr>
          <w:rFonts w:ascii="Times New Roman" w:hAnsi="Times New Roman" w:eastAsia="仿宋" w:cs="Times New Roman"/>
          <w:sz w:val="32"/>
          <w:szCs w:val="32"/>
        </w:rPr>
      </w:pPr>
      <w:r>
        <w:rPr>
          <w:rFonts w:ascii="Times New Roman" w:hAnsi="Times New Roman" w:eastAsia="仿宋" w:cs="Times New Roman"/>
          <w:sz w:val="32"/>
          <w:szCs w:val="32"/>
        </w:rPr>
        <w:t>2、各片区公益性用地占比均大于40%。</w:t>
      </w:r>
    </w:p>
    <w:p>
      <w:pPr>
        <w:pStyle w:val="6"/>
        <w:ind w:firstLine="640"/>
        <w:rPr>
          <w:rFonts w:ascii="Times New Roman" w:hAnsi="Times New Roman" w:eastAsia="仿宋" w:cs="Times New Roman"/>
          <w:sz w:val="32"/>
          <w:szCs w:val="32"/>
        </w:rPr>
      </w:pPr>
      <w:r>
        <w:rPr>
          <w:rFonts w:ascii="Times New Roman" w:hAnsi="Times New Roman" w:eastAsia="仿宋" w:cs="Times New Roman"/>
          <w:sz w:val="32"/>
          <w:szCs w:val="32"/>
        </w:rPr>
        <w:t>3、各片区拟征收地块面积占比均大于60%。</w:t>
      </w:r>
    </w:p>
    <w:p>
      <w:pPr>
        <w:pStyle w:val="6"/>
        <w:ind w:firstLine="640"/>
        <w:rPr>
          <w:rFonts w:ascii="Times New Roman" w:hAnsi="Times New Roman" w:eastAsia="仿宋" w:cs="Times New Roman"/>
          <w:sz w:val="32"/>
          <w:szCs w:val="32"/>
        </w:rPr>
      </w:pPr>
      <w:r>
        <w:rPr>
          <w:rFonts w:hint="eastAsia" w:ascii="Times New Roman" w:hAnsi="Times New Roman" w:eastAsia="仿宋" w:cs="Times New Roman"/>
          <w:sz w:val="32"/>
          <w:szCs w:val="32"/>
        </w:rPr>
        <w:t>4、金平区近五年供地率大于6</w:t>
      </w:r>
      <w:r>
        <w:rPr>
          <w:rFonts w:ascii="Times New Roman" w:hAnsi="Times New Roman" w:eastAsia="仿宋" w:cs="Times New Roman"/>
          <w:sz w:val="32"/>
          <w:szCs w:val="32"/>
        </w:rPr>
        <w:t>0</w:t>
      </w:r>
      <w:r>
        <w:rPr>
          <w:rFonts w:hint="eastAsia" w:ascii="Times New Roman" w:hAnsi="Times New Roman" w:eastAsia="仿宋" w:cs="Times New Roman"/>
          <w:sz w:val="32"/>
          <w:szCs w:val="32"/>
        </w:rPr>
        <w:t>%，闲置率小于5%。</w:t>
      </w:r>
    </w:p>
    <w:p>
      <w:pPr>
        <w:pStyle w:val="6"/>
        <w:spacing w:line="740" w:lineRule="exact"/>
        <w:ind w:firstLine="643"/>
        <w:outlineLvl w:val="0"/>
        <w:rPr>
          <w:rFonts w:ascii="Times New Roman" w:hAnsi="Times New Roman" w:eastAsia="仿宋" w:cs="Times New Roman"/>
          <w:b/>
          <w:bCs/>
          <w:kern w:val="44"/>
          <w:sz w:val="32"/>
          <w:szCs w:val="44"/>
        </w:rPr>
      </w:pPr>
      <w:r>
        <w:rPr>
          <w:rFonts w:ascii="Times New Roman" w:hAnsi="Times New Roman" w:eastAsia="仿宋" w:cs="Times New Roman"/>
          <w:b/>
          <w:bCs/>
          <w:kern w:val="44"/>
          <w:sz w:val="32"/>
          <w:szCs w:val="44"/>
        </w:rPr>
        <w:t>七、成片开发的效益评估</w:t>
      </w:r>
    </w:p>
    <w:p>
      <w:pPr>
        <w:pStyle w:val="6"/>
        <w:spacing w:line="700" w:lineRule="exact"/>
        <w:ind w:firstLine="643"/>
        <w:rPr>
          <w:rFonts w:ascii="Times New Roman" w:hAnsi="Times New Roman" w:eastAsia="仿宋" w:cs="Times New Roman"/>
          <w:b/>
          <w:bCs/>
          <w:kern w:val="44"/>
          <w:sz w:val="32"/>
          <w:szCs w:val="44"/>
        </w:rPr>
      </w:pPr>
      <w:r>
        <w:rPr>
          <w:rFonts w:ascii="Times New Roman" w:hAnsi="Times New Roman" w:eastAsia="仿宋" w:cs="Times New Roman"/>
          <w:b/>
          <w:bCs/>
          <w:kern w:val="44"/>
          <w:sz w:val="32"/>
          <w:szCs w:val="44"/>
        </w:rPr>
        <w:t>（一）土地利用效益评估</w:t>
      </w:r>
    </w:p>
    <w:p>
      <w:pPr>
        <w:pStyle w:val="6"/>
        <w:ind w:firstLine="640"/>
        <w:rPr>
          <w:rFonts w:ascii="Times New Roman" w:hAnsi="Times New Roman" w:eastAsia="仿宋" w:cs="Times New Roman"/>
          <w:sz w:val="32"/>
          <w:szCs w:val="32"/>
        </w:rPr>
      </w:pPr>
      <w:r>
        <w:rPr>
          <w:rFonts w:ascii="Times New Roman" w:hAnsi="Times New Roman" w:eastAsia="仿宋" w:cs="Times New Roman"/>
          <w:sz w:val="32"/>
          <w:szCs w:val="32"/>
        </w:rPr>
        <w:t>本成片开发方案以重点项目为契机，以</w:t>
      </w:r>
      <w:r>
        <w:rPr>
          <w:rFonts w:hint="eastAsia" w:ascii="Times New Roman" w:hAnsi="Times New Roman" w:eastAsia="仿宋" w:cs="Times New Roman"/>
          <w:sz w:val="32"/>
          <w:szCs w:val="32"/>
        </w:rPr>
        <w:t>落实新发展理念，推动高质量发展为</w:t>
      </w:r>
      <w:r>
        <w:rPr>
          <w:rFonts w:ascii="Times New Roman" w:hAnsi="Times New Roman" w:eastAsia="仿宋" w:cs="Times New Roman"/>
          <w:sz w:val="32"/>
          <w:szCs w:val="32"/>
        </w:rPr>
        <w:t>总目标，与国民经济和社会发展规划、国土空间规划、土地利用总体规划、城市总体规划充分衔接，明确</w:t>
      </w:r>
      <w:r>
        <w:rPr>
          <w:rFonts w:hint="eastAsia" w:ascii="Times New Roman" w:hAnsi="Times New Roman" w:eastAsia="仿宋" w:cs="Times New Roman"/>
          <w:sz w:val="32"/>
          <w:szCs w:val="32"/>
        </w:rPr>
        <w:t>金平区</w:t>
      </w:r>
      <w:r>
        <w:rPr>
          <w:rFonts w:ascii="Times New Roman" w:hAnsi="Times New Roman" w:eastAsia="仿宋" w:cs="Times New Roman"/>
          <w:sz w:val="32"/>
          <w:szCs w:val="32"/>
        </w:rPr>
        <w:t>在“十四五”规划期间的发展重点，统筹谋划，提高集约土地、高效用地水平。</w:t>
      </w:r>
    </w:p>
    <w:p>
      <w:pPr>
        <w:pStyle w:val="6"/>
        <w:spacing w:line="700" w:lineRule="exact"/>
        <w:ind w:firstLine="643"/>
        <w:rPr>
          <w:rFonts w:ascii="Times New Roman" w:hAnsi="Times New Roman" w:eastAsia="仿宋" w:cs="Times New Roman"/>
          <w:b/>
          <w:bCs/>
          <w:kern w:val="44"/>
          <w:sz w:val="32"/>
          <w:szCs w:val="44"/>
        </w:rPr>
      </w:pPr>
      <w:r>
        <w:rPr>
          <w:rFonts w:ascii="Times New Roman" w:hAnsi="Times New Roman" w:eastAsia="仿宋" w:cs="Times New Roman"/>
          <w:b/>
          <w:bCs/>
          <w:kern w:val="44"/>
          <w:sz w:val="32"/>
          <w:szCs w:val="44"/>
        </w:rPr>
        <w:t>（二）经济效益评估</w:t>
      </w:r>
    </w:p>
    <w:p>
      <w:pPr>
        <w:pStyle w:val="6"/>
        <w:ind w:firstLine="640"/>
        <w:rPr>
          <w:rFonts w:ascii="Times New Roman" w:hAnsi="Times New Roman" w:eastAsia="仿宋" w:cs="Times New Roman"/>
          <w:sz w:val="32"/>
          <w:szCs w:val="32"/>
        </w:rPr>
      </w:pPr>
      <w:r>
        <w:rPr>
          <w:rFonts w:ascii="Times New Roman" w:hAnsi="Times New Roman" w:eastAsia="仿宋" w:cs="Times New Roman"/>
          <w:sz w:val="32"/>
          <w:szCs w:val="32"/>
        </w:rPr>
        <w:t>本成片开发方案的落实，将为</w:t>
      </w:r>
      <w:r>
        <w:rPr>
          <w:rFonts w:hint="eastAsia" w:ascii="Times New Roman" w:hAnsi="Times New Roman" w:eastAsia="仿宋" w:cs="Times New Roman"/>
          <w:sz w:val="32"/>
          <w:szCs w:val="32"/>
        </w:rPr>
        <w:t>金平区</w:t>
      </w:r>
      <w:r>
        <w:rPr>
          <w:rFonts w:ascii="Times New Roman" w:hAnsi="Times New Roman" w:eastAsia="仿宋" w:cs="Times New Roman"/>
          <w:sz w:val="32"/>
          <w:szCs w:val="32"/>
        </w:rPr>
        <w:t>的发展预留充足空间，落实产业强区“头等工作”，优化土地合理布局，为</w:t>
      </w:r>
      <w:r>
        <w:rPr>
          <w:rFonts w:hint="eastAsia" w:ascii="Times New Roman" w:hAnsi="Times New Roman" w:eastAsia="仿宋" w:cs="Times New Roman"/>
          <w:sz w:val="32"/>
          <w:szCs w:val="32"/>
        </w:rPr>
        <w:t>金平区</w:t>
      </w:r>
      <w:r>
        <w:rPr>
          <w:rFonts w:ascii="Times New Roman" w:hAnsi="Times New Roman" w:eastAsia="仿宋" w:cs="Times New Roman"/>
          <w:sz w:val="32"/>
          <w:szCs w:val="32"/>
        </w:rPr>
        <w:t>带来一定经济效益。</w:t>
      </w:r>
    </w:p>
    <w:p>
      <w:pPr>
        <w:pStyle w:val="6"/>
        <w:spacing w:line="700" w:lineRule="exact"/>
        <w:ind w:firstLine="643"/>
        <w:rPr>
          <w:rFonts w:ascii="Times New Roman" w:hAnsi="Times New Roman" w:eastAsia="仿宋" w:cs="Times New Roman"/>
          <w:b/>
          <w:bCs/>
          <w:kern w:val="44"/>
          <w:sz w:val="32"/>
          <w:szCs w:val="44"/>
        </w:rPr>
      </w:pPr>
      <w:r>
        <w:rPr>
          <w:rFonts w:ascii="Times New Roman" w:hAnsi="Times New Roman" w:eastAsia="仿宋" w:cs="Times New Roman"/>
          <w:b/>
          <w:bCs/>
          <w:kern w:val="44"/>
          <w:sz w:val="32"/>
          <w:szCs w:val="44"/>
        </w:rPr>
        <w:t>（三）社会效益评估</w:t>
      </w:r>
    </w:p>
    <w:p>
      <w:pPr>
        <w:pStyle w:val="6"/>
        <w:ind w:firstLine="640"/>
        <w:rPr>
          <w:rFonts w:ascii="Times New Roman" w:hAnsi="Times New Roman" w:eastAsia="仿宋" w:cs="Times New Roman"/>
          <w:sz w:val="32"/>
          <w:szCs w:val="32"/>
        </w:rPr>
      </w:pPr>
      <w:r>
        <w:rPr>
          <w:rFonts w:ascii="Times New Roman" w:hAnsi="Times New Roman" w:eastAsia="仿宋" w:cs="Times New Roman"/>
          <w:sz w:val="32"/>
          <w:szCs w:val="32"/>
        </w:rPr>
        <w:t>本成片开发方案可实现</w:t>
      </w:r>
      <w:r>
        <w:rPr>
          <w:rFonts w:hint="eastAsia" w:ascii="Times New Roman" w:hAnsi="Times New Roman" w:eastAsia="仿宋" w:cs="Times New Roman"/>
          <w:sz w:val="32"/>
          <w:szCs w:val="32"/>
        </w:rPr>
        <w:t>现代商贸物流园区、新能源锂电池产业园区、新型现代工业园区、大港河产城融合示范区和智能制造产业城五</w:t>
      </w:r>
      <w:r>
        <w:rPr>
          <w:rFonts w:ascii="Times New Roman" w:hAnsi="Times New Roman" w:eastAsia="仿宋" w:cs="Times New Roman"/>
          <w:sz w:val="32"/>
          <w:szCs w:val="32"/>
        </w:rPr>
        <w:t>大功能，通过城市开发建设，吸引投资，带动就业。同时重点推进产业园发展，优化产业结构和空间布局，结合政策红利，吸引企业入驻发展，带动地方人才市场，产生更多的就业机会，缓解本地居民就业压力，提高当地居民收入水平。</w:t>
      </w:r>
    </w:p>
    <w:p>
      <w:pPr>
        <w:pStyle w:val="6"/>
        <w:ind w:firstLine="640"/>
        <w:rPr>
          <w:rFonts w:ascii="Times New Roman" w:hAnsi="Times New Roman" w:eastAsia="仿宋" w:cs="Times New Roman"/>
          <w:sz w:val="32"/>
          <w:szCs w:val="32"/>
        </w:rPr>
      </w:pPr>
      <w:r>
        <w:rPr>
          <w:rFonts w:ascii="Times New Roman" w:hAnsi="Times New Roman" w:eastAsia="仿宋" w:cs="Times New Roman"/>
          <w:sz w:val="32"/>
          <w:szCs w:val="32"/>
        </w:rPr>
        <w:t>成片开发方案实施后，配套40%以上比例的公益性用地，将推动公益性用地和基础设施用地的建设，改善区域设施服务水平。规划更多的公园绿地，满足人民群众对于人居生活环境品质提升的需求。同时，市政道路的配套完善，将改善区域的交通网络，提升生活便利度与居民满意度。</w:t>
      </w:r>
    </w:p>
    <w:p>
      <w:pPr>
        <w:pStyle w:val="6"/>
        <w:spacing w:line="700" w:lineRule="exact"/>
        <w:ind w:firstLine="643"/>
        <w:rPr>
          <w:rFonts w:ascii="Times New Roman" w:hAnsi="Times New Roman" w:eastAsia="仿宋" w:cs="Times New Roman"/>
          <w:b/>
          <w:bCs/>
          <w:kern w:val="44"/>
          <w:sz w:val="32"/>
          <w:szCs w:val="44"/>
        </w:rPr>
      </w:pPr>
      <w:r>
        <w:rPr>
          <w:rFonts w:ascii="Times New Roman" w:hAnsi="Times New Roman" w:eastAsia="仿宋" w:cs="Times New Roman"/>
          <w:b/>
          <w:bCs/>
          <w:kern w:val="44"/>
          <w:sz w:val="32"/>
          <w:szCs w:val="44"/>
        </w:rPr>
        <w:t>（四）生态效益评估</w:t>
      </w:r>
    </w:p>
    <w:p>
      <w:pPr>
        <w:pStyle w:val="6"/>
        <w:ind w:firstLine="640"/>
        <w:rPr>
          <w:rFonts w:ascii="Times New Roman" w:hAnsi="Times New Roman" w:eastAsia="仿宋" w:cs="Times New Roman"/>
          <w:sz w:val="32"/>
          <w:szCs w:val="32"/>
        </w:rPr>
      </w:pPr>
      <w:r>
        <w:rPr>
          <w:rFonts w:ascii="Times New Roman" w:hAnsi="Times New Roman" w:eastAsia="仿宋" w:cs="Times New Roman"/>
          <w:sz w:val="32"/>
          <w:szCs w:val="32"/>
        </w:rPr>
        <w:t>本成片开发方案实施后，新增公园绿地和防护绿地，有利于减少灰尘和噪声污染，营造良好的环境，统筹推进山、水、林、田、海生态的保护，提升生态环境质量。发展绿色经济、统筹兼顾城市发展和生态保护，综合决策，合理开发。</w:t>
      </w:r>
    </w:p>
    <w:p>
      <w:pPr>
        <w:pStyle w:val="6"/>
        <w:spacing w:line="740" w:lineRule="exact"/>
        <w:ind w:firstLine="643"/>
        <w:outlineLvl w:val="0"/>
        <w:rPr>
          <w:rFonts w:ascii="Times New Roman" w:hAnsi="Times New Roman" w:eastAsia="仿宋" w:cs="Times New Roman"/>
          <w:b/>
          <w:bCs/>
          <w:kern w:val="44"/>
          <w:sz w:val="32"/>
          <w:szCs w:val="44"/>
        </w:rPr>
      </w:pPr>
      <w:r>
        <w:rPr>
          <w:rFonts w:hint="eastAsia" w:ascii="Times New Roman" w:hAnsi="Times New Roman" w:eastAsia="仿宋" w:cs="Times New Roman"/>
          <w:b/>
          <w:bCs/>
          <w:kern w:val="44"/>
          <w:sz w:val="32"/>
          <w:szCs w:val="44"/>
        </w:rPr>
        <w:t>八</w:t>
      </w:r>
      <w:r>
        <w:rPr>
          <w:rFonts w:ascii="Times New Roman" w:hAnsi="Times New Roman" w:eastAsia="仿宋" w:cs="Times New Roman"/>
          <w:b/>
          <w:bCs/>
          <w:kern w:val="44"/>
          <w:sz w:val="32"/>
          <w:szCs w:val="44"/>
        </w:rPr>
        <w:t>、附件</w:t>
      </w:r>
    </w:p>
    <w:p>
      <w:pPr>
        <w:pStyle w:val="6"/>
        <w:ind w:firstLine="640"/>
        <w:rPr>
          <w:rFonts w:ascii="Times New Roman" w:hAnsi="Times New Roman" w:eastAsia="仿宋" w:cs="Times New Roman"/>
          <w:sz w:val="32"/>
          <w:szCs w:val="32"/>
        </w:rPr>
      </w:pPr>
      <w:r>
        <w:rPr>
          <w:rFonts w:hint="eastAsia" w:ascii="Times New Roman" w:hAnsi="Times New Roman" w:eastAsia="仿宋" w:cs="Times New Roman"/>
          <w:sz w:val="32"/>
          <w:szCs w:val="32"/>
        </w:rPr>
        <w:t>汕头市金平区2022年度土地征收</w:t>
      </w:r>
      <w:r>
        <w:rPr>
          <w:rFonts w:ascii="Times New Roman" w:hAnsi="Times New Roman" w:eastAsia="仿宋" w:cs="Times New Roman"/>
          <w:sz w:val="32"/>
          <w:szCs w:val="32"/>
        </w:rPr>
        <w:t>成片开发范围位置示意图</w:t>
      </w:r>
    </w:p>
    <w:p>
      <w:pPr>
        <w:spacing w:line="360" w:lineRule="auto"/>
        <w:ind w:firstLine="641" w:firstLineChars="0"/>
        <w:rPr>
          <w:rFonts w:ascii="Times New Roman" w:hAnsi="Times New Roman" w:eastAsia="仿宋"/>
          <w:kern w:val="44"/>
          <w:sz w:val="32"/>
          <w:szCs w:val="44"/>
        </w:rPr>
        <w:sectPr>
          <w:headerReference r:id="rId7" w:type="first"/>
          <w:footerReference r:id="rId10" w:type="first"/>
          <w:headerReference r:id="rId5" w:type="default"/>
          <w:footerReference r:id="rId8" w:type="default"/>
          <w:headerReference r:id="rId6" w:type="even"/>
          <w:footerReference r:id="rId9" w:type="even"/>
          <w:pgSz w:w="11906" w:h="16838"/>
          <w:pgMar w:top="1440" w:right="1080" w:bottom="1440" w:left="1080" w:header="567" w:footer="567" w:gutter="0"/>
          <w:cols w:space="720" w:num="1"/>
          <w:docGrid w:type="lines" w:linePitch="326" w:charSpace="0"/>
        </w:sectPr>
      </w:pPr>
    </w:p>
    <w:p>
      <w:pPr>
        <w:spacing w:after="0" w:line="560" w:lineRule="exact"/>
        <w:ind w:firstLine="560"/>
        <w:jc w:val="left"/>
        <w:rPr>
          <w:rFonts w:eastAsia="仿宋" w:cs="Times New Roman"/>
          <w:sz w:val="28"/>
          <w:szCs w:val="28"/>
        </w:rPr>
        <w:sectPr>
          <w:type w:val="continuous"/>
          <w:pgSz w:w="11906" w:h="16838"/>
          <w:pgMar w:top="1134" w:right="1531" w:bottom="1134" w:left="1531"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after="0" w:line="240" w:lineRule="auto"/>
        <w:ind w:firstLine="977" w:firstLineChars="349"/>
        <w:jc w:val="center"/>
        <w:textAlignment w:val="auto"/>
      </w:pPr>
      <w:r>
        <w:rPr>
          <w:rFonts w:hint="eastAsia" w:eastAsia="仿宋" w:cs="Times New Roman"/>
          <w:sz w:val="28"/>
          <w:szCs w:val="28"/>
          <w:lang w:eastAsia="zh-CN"/>
        </w:rPr>
        <w:drawing>
          <wp:inline distT="0" distB="0" distL="114300" distR="114300">
            <wp:extent cx="7753985" cy="5486400"/>
            <wp:effectExtent l="0" t="0" r="18415" b="0"/>
            <wp:docPr id="2" name="图片 2" descr="微信图片_20220908095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20908095319"/>
                    <pic:cNvPicPr>
                      <a:picLocks noChangeAspect="1"/>
                    </pic:cNvPicPr>
                  </pic:nvPicPr>
                  <pic:blipFill>
                    <a:blip r:embed="rId12"/>
                    <a:stretch>
                      <a:fillRect/>
                    </a:stretch>
                  </pic:blipFill>
                  <pic:spPr>
                    <a:xfrm>
                      <a:off x="0" y="0"/>
                      <a:ext cx="7753985" cy="5486400"/>
                    </a:xfrm>
                    <a:prstGeom prst="rect">
                      <a:avLst/>
                    </a:prstGeom>
                  </pic:spPr>
                </pic:pic>
              </a:graphicData>
            </a:graphic>
          </wp:inline>
        </w:drawing>
      </w:r>
    </w:p>
    <w:sectPr>
      <w:pgSz w:w="16838" w:h="11906" w:orient="landscape"/>
      <w:pgMar w:top="1531" w:right="1134" w:bottom="1531"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00"/>
      </w:pPr>
      <w:r>
        <w:separator/>
      </w:r>
    </w:p>
  </w:endnote>
  <w:endnote w:type="continuationSeparator" w:id="1">
    <w:p>
      <w:pPr>
        <w:spacing w:line="240" w:lineRule="auto"/>
        <w:ind w:firstLine="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jc w:val="center"/>
    </w:pPr>
    <w:r>
      <w:fldChar w:fldCharType="begin"/>
    </w:r>
    <w:r>
      <w:instrText xml:space="preserve">PAGE   \* MERGEFORMAT</w:instrText>
    </w:r>
    <w:r>
      <w:fldChar w:fldCharType="separate"/>
    </w:r>
    <w:r>
      <w:rPr>
        <w:lang w:val="zh-CN"/>
      </w:rPr>
      <w:t>1</w:t>
    </w:r>
    <w:r>
      <w:fldChar w:fldCharType="end"/>
    </w:r>
  </w:p>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600"/>
      </w:pPr>
      <w:r>
        <w:separator/>
      </w:r>
    </w:p>
  </w:footnote>
  <w:footnote w:type="continuationSeparator" w:id="1">
    <w:p>
      <w:pPr>
        <w:spacing w:before="0" w:after="0" w:line="360" w:lineRule="auto"/>
        <w:ind w:firstLine="6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wYjMwMjkxMmU3NDNlODQzMmJiOTQ1OGU3NmVkNTgifQ=="/>
  </w:docVars>
  <w:rsids>
    <w:rsidRoot w:val="52D82C36"/>
    <w:rsid w:val="52D82C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56" w:line="360" w:lineRule="auto"/>
      <w:ind w:firstLine="600" w:firstLineChars="200"/>
      <w:jc w:val="both"/>
    </w:pPr>
    <w:rPr>
      <w:rFonts w:ascii="Times New Roman" w:hAnsi="Times New Roman" w:eastAsia="仿宋_GB2312" w:cs="宋体"/>
      <w:kern w:val="2"/>
      <w:sz w:val="30"/>
      <w:szCs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spacing w:line="240" w:lineRule="auto"/>
      <w:jc w:val="left"/>
    </w:pPr>
    <w:rPr>
      <w:sz w:val="18"/>
      <w:szCs w:val="18"/>
    </w:rPr>
  </w:style>
  <w:style w:type="paragraph" w:styleId="3">
    <w:name w:val="header"/>
    <w:basedOn w:val="1"/>
    <w:semiHidden/>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customStyle="1" w:styleId="6">
    <w:name w:val="_Style 5"/>
    <w:qFormat/>
    <w:uiPriority w:val="99"/>
    <w:pPr>
      <w:widowControl w:val="0"/>
      <w:ind w:firstLine="200" w:firstLineChars="200"/>
      <w:jc w:val="both"/>
    </w:pPr>
    <w:rPr>
      <w:rFonts w:ascii="Calibri" w:hAnsi="Calibri" w:eastAsia="宋体" w:cs="Calibri"/>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2022-09-08T11:11:00Z</dcterms:created>
  <dc:creator>劉峰</dc:creator>
  <cp:lastModifiedBy>劉峰</cp:lastModifiedBy>
  <dcterms:modified xsi:type="dcterms:W3CDTF">2022-09-08T11:12:01Z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3D0D0A8B6A2140F7BFE9BD396DCDE0F3</vt:lpwstr>
  </property>
</Properties>
</file>