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83" w:leftChars="-88" w:right="-315" w:rightChars="-150" w:hanging="2"/>
        <w:jc w:val="left"/>
        <w:rPr>
          <w:rFonts w:ascii="仿宋" w:hAnsi="仿宋" w:eastAsia="仿宋"/>
          <w:szCs w:val="32"/>
        </w:rPr>
      </w:pPr>
    </w:p>
    <w:p>
      <w:pPr>
        <w:ind w:left="-183" w:leftChars="-88" w:right="-315" w:rightChars="-150" w:hanging="2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2015年</w:t>
      </w:r>
      <w:r>
        <w:rPr>
          <w:rFonts w:hint="eastAsia" w:ascii="黑体" w:hAnsi="黑体" w:eastAsia="黑体"/>
          <w:sz w:val="44"/>
          <w:szCs w:val="44"/>
          <w:lang w:eastAsia="zh-CN"/>
        </w:rPr>
        <w:t>汕头市金平区图书馆</w:t>
      </w:r>
      <w:r>
        <w:rPr>
          <w:rFonts w:hint="eastAsia" w:ascii="黑体" w:hAnsi="黑体" w:eastAsia="黑体"/>
          <w:sz w:val="44"/>
          <w:szCs w:val="44"/>
        </w:rPr>
        <w:t>部门决算</w:t>
      </w:r>
    </w:p>
    <w:p>
      <w:pPr>
        <w:ind w:left="-183" w:leftChars="-88" w:right="-315" w:rightChars="-150" w:hanging="2"/>
        <w:jc w:val="center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 w:val="44"/>
          <w:szCs w:val="44"/>
        </w:rPr>
        <w:t>基本情况说明</w:t>
      </w:r>
    </w:p>
    <w:p>
      <w:pPr>
        <w:spacing w:line="580" w:lineRule="exact"/>
        <w:ind w:right="-315" w:rightChars="-150" w:firstLine="643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一、部门基本情况</w:t>
      </w:r>
    </w:p>
    <w:p>
      <w:pPr>
        <w:spacing w:line="288" w:lineRule="auto"/>
        <w:ind w:right="-50" w:rightChars="-24" w:firstLine="630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（一）部门机构设置、职能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区图书馆机构设置基本情况：201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年金平区图书馆在全国第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次全国公共图书馆评估定级工作中被评为二级图书馆。本馆属于公益一类的事业单位，内设办公室、外借部、阅览室、广东省流动图书馆金平分馆、全国信息资源共享工程金平支中心。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区图书馆的主要职责是：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收集、整理、保存、传播图书文献，提供信息服务，根据金平区特点收藏地方文献和保存人类文化遗产，形成馆藏特点和特色服务；做好基层图书馆（室）的业务辅导，做好广东流动图书馆金平分馆的工作，搞好文化信息资源共享工程建设。</w:t>
      </w:r>
    </w:p>
    <w:p>
      <w:pPr>
        <w:spacing w:line="288" w:lineRule="auto"/>
        <w:ind w:right="-50" w:rightChars="-24" w:firstLine="630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（二）人员构成情况</w:t>
      </w:r>
    </w:p>
    <w:p>
      <w:pPr>
        <w:spacing w:line="288" w:lineRule="auto"/>
        <w:ind w:right="-50" w:rightChars="-24" w:firstLine="64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本单位</w:t>
      </w:r>
      <w:r>
        <w:rPr>
          <w:rFonts w:hint="eastAsia" w:ascii="仿宋" w:hAnsi="仿宋" w:eastAsia="仿宋" w:cs="仿宋"/>
          <w:sz w:val="28"/>
          <w:szCs w:val="28"/>
        </w:rPr>
        <w:t>编制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7人，</w:t>
      </w:r>
      <w:r>
        <w:rPr>
          <w:rFonts w:hint="eastAsia" w:ascii="仿宋" w:hAnsi="仿宋" w:eastAsia="仿宋" w:cs="仿宋"/>
          <w:sz w:val="28"/>
          <w:szCs w:val="28"/>
        </w:rPr>
        <w:t>实有在职人员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6人，</w:t>
      </w:r>
      <w:r>
        <w:rPr>
          <w:rFonts w:hint="eastAsia" w:ascii="仿宋" w:hAnsi="仿宋" w:eastAsia="仿宋" w:cs="仿宋"/>
          <w:sz w:val="28"/>
          <w:szCs w:val="28"/>
        </w:rPr>
        <w:t>离退休人员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7人。</w:t>
      </w:r>
    </w:p>
    <w:p>
      <w:pPr>
        <w:spacing w:line="288" w:lineRule="auto"/>
        <w:ind w:right="-50" w:rightChars="-24" w:firstLine="630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（三）决算年度的主要工作任务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工作任务：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</w:rPr>
        <w:t>4月23日“世界阅读日”， 开展以“阅读看世界”为主题的读书创作比赛活动。推进数字化图书馆的建设，在原有电子书借阅的基础上推出移动图书馆，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在全区中小学推广使用数字阅览证。</w:t>
      </w:r>
      <w:r>
        <w:rPr>
          <w:rFonts w:hint="eastAsia" w:ascii="仿宋" w:hAnsi="仿宋" w:eastAsia="仿宋" w:cs="仿宋"/>
          <w:sz w:val="28"/>
          <w:szCs w:val="28"/>
        </w:rPr>
        <w:t>区图书馆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协助</w:t>
      </w:r>
      <w:r>
        <w:rPr>
          <w:rFonts w:hint="eastAsia" w:ascii="仿宋" w:hAnsi="仿宋" w:eastAsia="仿宋" w:cs="仿宋"/>
          <w:sz w:val="28"/>
          <w:szCs w:val="28"/>
        </w:rPr>
        <w:t>区纪委、区文化广电新闻出版局举办第五届全区廉洁读书月活动。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开辟了少儿阅览区，购进“少儿多媒体库”触屏仪，寓教于乐，启迪心智。发挥图书馆的培训职能，利用免费开放资金开办免费中老年人电脑培训班。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利用图书馆平台与区教育局，少工委联合举办“读经典 颂美德”为主题的金平区第二届小学生情景短剧比赛活动。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工作目标：准备建设起数字图书馆的门户，把全民阅读推广做为一个项目来做，让图书馆成为广大读者喜闻乐见的好去处，不断来延伸丰富图书馆的服务，把图书馆建设推上一个新的台阶。</w:t>
      </w:r>
    </w:p>
    <w:p>
      <w:pPr>
        <w:spacing w:line="288" w:lineRule="auto"/>
        <w:ind w:right="-50" w:rightChars="-24" w:firstLine="630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二、预算执行情况分析</w:t>
      </w:r>
    </w:p>
    <w:p>
      <w:pPr>
        <w:spacing w:line="288" w:lineRule="auto"/>
        <w:ind w:right="-50" w:rightChars="-24" w:firstLine="630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（一）收入情况说明</w:t>
      </w:r>
    </w:p>
    <w:p>
      <w:pPr>
        <w:spacing w:line="288" w:lineRule="auto"/>
        <w:ind w:right="-50" w:rightChars="-24" w:firstLine="64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2015年收入决算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132.10</w:t>
      </w:r>
      <w:r>
        <w:rPr>
          <w:rFonts w:hint="eastAsia" w:ascii="仿宋" w:hAnsi="仿宋" w:eastAsia="仿宋" w:cs="仿宋"/>
          <w:sz w:val="28"/>
          <w:szCs w:val="28"/>
        </w:rPr>
        <w:t>万元，比2014年决算数增加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59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.55</w:t>
      </w:r>
      <w:r>
        <w:rPr>
          <w:rFonts w:hint="eastAsia" w:ascii="仿宋" w:hAnsi="仿宋" w:eastAsia="仿宋" w:cs="仿宋"/>
          <w:sz w:val="28"/>
          <w:szCs w:val="28"/>
        </w:rPr>
        <w:t>万元，原因是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2015年度收到省拨2015基层公共文化服务设施专项补助经费30万元</w:t>
      </w:r>
      <w:r>
        <w:rPr>
          <w:rFonts w:hint="eastAsia" w:ascii="仿宋" w:hAnsi="仿宋" w:eastAsia="仿宋" w:cs="仿宋"/>
          <w:sz w:val="28"/>
          <w:szCs w:val="28"/>
        </w:rPr>
        <w:t>。其中：财政拨款收入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,126.10</w:t>
      </w:r>
      <w:r>
        <w:rPr>
          <w:rFonts w:hint="eastAsia" w:ascii="仿宋" w:hAnsi="仿宋" w:eastAsia="仿宋" w:cs="仿宋"/>
          <w:sz w:val="28"/>
          <w:szCs w:val="28"/>
        </w:rPr>
        <w:t>万元，比2015年预算数增加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53.55</w:t>
      </w:r>
      <w:r>
        <w:rPr>
          <w:rFonts w:hint="eastAsia" w:ascii="仿宋" w:hAnsi="仿宋" w:eastAsia="仿宋" w:cs="仿宋"/>
          <w:sz w:val="28"/>
          <w:szCs w:val="28"/>
        </w:rPr>
        <w:t>万元，原因是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2015年度收到省拨2015基层公共文化服务设施专项补助经费30万元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其他收入，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6万，2013年中央补助免费开放经费。</w:t>
      </w:r>
    </w:p>
    <w:p>
      <w:pPr>
        <w:spacing w:line="288" w:lineRule="auto"/>
        <w:ind w:right="-50" w:rightChars="-24" w:firstLine="643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（二）支出情况说明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015年支出决算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106.45</w:t>
      </w:r>
      <w:r>
        <w:rPr>
          <w:rFonts w:hint="eastAsia" w:ascii="仿宋" w:hAnsi="仿宋" w:eastAsia="仿宋" w:cs="仿宋"/>
          <w:sz w:val="28"/>
          <w:szCs w:val="28"/>
        </w:rPr>
        <w:t>万元，比2014年决算数增加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37.55</w:t>
      </w:r>
      <w:r>
        <w:rPr>
          <w:rFonts w:hint="eastAsia" w:ascii="仿宋" w:hAnsi="仿宋" w:eastAsia="仿宋" w:cs="仿宋"/>
          <w:sz w:val="28"/>
          <w:szCs w:val="28"/>
        </w:rPr>
        <w:t>万元，原因是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购置了歌德电子书阅读机、空调、净化器、抽湿机等设备</w:t>
      </w:r>
      <w:r>
        <w:rPr>
          <w:rFonts w:hint="eastAsia" w:ascii="仿宋" w:hAnsi="仿宋" w:eastAsia="仿宋" w:cs="仿宋"/>
          <w:sz w:val="28"/>
          <w:szCs w:val="28"/>
        </w:rPr>
        <w:t>。其中：财政拨款支出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106.45</w:t>
      </w:r>
      <w:r>
        <w:rPr>
          <w:rFonts w:hint="eastAsia" w:ascii="仿宋" w:hAnsi="仿宋" w:eastAsia="仿宋" w:cs="仿宋"/>
          <w:sz w:val="28"/>
          <w:szCs w:val="28"/>
        </w:rPr>
        <w:t>万元，比2015年预算数增加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37.55</w:t>
      </w:r>
      <w:r>
        <w:rPr>
          <w:rFonts w:hint="eastAsia" w:ascii="仿宋" w:hAnsi="仿宋" w:eastAsia="仿宋" w:cs="仿宋"/>
          <w:sz w:val="28"/>
          <w:szCs w:val="28"/>
        </w:rPr>
        <w:t>万元，原因是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购置了歌德电子书阅读机、空调、净化器、抽湿机等设备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288" w:lineRule="auto"/>
        <w:ind w:right="-50" w:rightChars="-24" w:firstLine="64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2015年财政拨款支出按用途划分，基本支出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57.47</w:t>
      </w:r>
      <w:r>
        <w:rPr>
          <w:rFonts w:hint="eastAsia" w:ascii="仿宋" w:hAnsi="仿宋" w:eastAsia="仿宋" w:cs="仿宋"/>
          <w:sz w:val="28"/>
          <w:szCs w:val="28"/>
        </w:rPr>
        <w:t>万元，占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53.99</w:t>
      </w:r>
      <w:r>
        <w:rPr>
          <w:rFonts w:hint="eastAsia" w:ascii="仿宋" w:hAnsi="仿宋" w:eastAsia="仿宋" w:cs="仿宋"/>
          <w:sz w:val="28"/>
          <w:szCs w:val="28"/>
        </w:rPr>
        <w:t xml:space="preserve"> %，其中：工资福利支出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32.55</w:t>
      </w:r>
      <w:r>
        <w:rPr>
          <w:rFonts w:hint="eastAsia" w:ascii="仿宋" w:hAnsi="仿宋" w:eastAsia="仿宋" w:cs="仿宋"/>
          <w:sz w:val="28"/>
          <w:szCs w:val="28"/>
        </w:rPr>
        <w:t>万元，对个人和家庭的补助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24.89</w:t>
      </w:r>
      <w:r>
        <w:rPr>
          <w:rFonts w:hint="eastAsia" w:ascii="仿宋" w:hAnsi="仿宋" w:eastAsia="仿宋" w:cs="仿宋"/>
          <w:sz w:val="28"/>
          <w:szCs w:val="28"/>
        </w:rPr>
        <w:t>万元，商品和服务支出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0.03</w:t>
      </w:r>
      <w:r>
        <w:rPr>
          <w:rFonts w:hint="eastAsia" w:ascii="仿宋" w:hAnsi="仿宋" w:eastAsia="仿宋" w:cs="仿宋"/>
          <w:sz w:val="28"/>
          <w:szCs w:val="28"/>
        </w:rPr>
        <w:t>万元，其他资本性支出等支出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万元；项目支出决算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48.98</w:t>
      </w:r>
      <w:r>
        <w:rPr>
          <w:rFonts w:hint="eastAsia" w:ascii="仿宋" w:hAnsi="仿宋" w:eastAsia="仿宋" w:cs="仿宋"/>
          <w:sz w:val="28"/>
          <w:szCs w:val="28"/>
        </w:rPr>
        <w:t>万元，占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46.01</w:t>
      </w:r>
      <w:r>
        <w:rPr>
          <w:rFonts w:hint="eastAsia" w:ascii="仿宋" w:hAnsi="仿宋" w:eastAsia="仿宋" w:cs="仿宋"/>
          <w:sz w:val="28"/>
          <w:szCs w:val="28"/>
        </w:rPr>
        <w:t>%，主要支出项目有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装修馆舍、购置设备、信息共享、购书、开展业务、免费开放、流动书香车下基层等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80" w:lineRule="exact"/>
        <w:ind w:right="-315" w:rightChars="-150" w:firstLine="630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（三）“三公”经费支出说明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2015年“三公”经费财政拨款支出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元，比2014年决算数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持平</w:t>
      </w:r>
      <w:r>
        <w:rPr>
          <w:rFonts w:hint="eastAsia" w:ascii="仿宋" w:hAnsi="仿宋" w:eastAsia="仿宋" w:cs="仿宋"/>
          <w:sz w:val="28"/>
          <w:szCs w:val="28"/>
        </w:rPr>
        <w:t>，原因是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本馆没有安排三公经费预算。有一部皮卡汽车是业务用车，还有一部流动书香车是指定我馆用于送书下乡活动的专车。</w:t>
      </w:r>
      <w:r>
        <w:rPr>
          <w:rFonts w:hint="eastAsia" w:ascii="仿宋" w:hAnsi="仿宋" w:eastAsia="仿宋" w:cs="仿宋"/>
          <w:sz w:val="28"/>
          <w:szCs w:val="28"/>
        </w:rPr>
        <w:t>具体情况如下：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1.全年使用财政拨款安排本级单位出国团组数为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 xml:space="preserve">个、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 xml:space="preserve"> 人次，因公出国（境）费支出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与</w:t>
      </w:r>
      <w:r>
        <w:rPr>
          <w:rFonts w:hint="eastAsia" w:ascii="仿宋" w:hAnsi="仿宋" w:eastAsia="仿宋" w:cs="仿宋"/>
          <w:sz w:val="28"/>
          <w:szCs w:val="28"/>
        </w:rPr>
        <w:t>2014年决算数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持平。</w:t>
      </w:r>
      <w:r>
        <w:rPr>
          <w:rFonts w:hint="eastAsia" w:ascii="仿宋" w:hAnsi="仿宋" w:eastAsia="仿宋" w:cs="仿宋"/>
          <w:sz w:val="28"/>
          <w:szCs w:val="28"/>
        </w:rPr>
        <w:t>开支内容包括：（1）参加会议支出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元；（2）出国谈判、工作磋商支出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元；（3）境外业务培训及考察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元。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2.公务用车购置及运行维护费支出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与</w:t>
      </w:r>
      <w:r>
        <w:rPr>
          <w:rFonts w:hint="eastAsia" w:ascii="仿宋" w:hAnsi="仿宋" w:eastAsia="仿宋" w:cs="仿宋"/>
          <w:sz w:val="28"/>
          <w:szCs w:val="28"/>
        </w:rPr>
        <w:t>2014年决算数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持平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与</w:t>
      </w:r>
      <w:r>
        <w:rPr>
          <w:rFonts w:hint="eastAsia" w:ascii="仿宋" w:hAnsi="仿宋" w:eastAsia="仿宋" w:cs="仿宋"/>
          <w:sz w:val="28"/>
          <w:szCs w:val="28"/>
        </w:rPr>
        <w:t>2015年预算数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一致</w:t>
      </w:r>
      <w:r>
        <w:rPr>
          <w:rFonts w:hint="eastAsia" w:ascii="仿宋" w:hAnsi="仿宋" w:eastAsia="仿宋" w:cs="仿宋"/>
          <w:sz w:val="28"/>
          <w:szCs w:val="28"/>
        </w:rPr>
        <w:t>，原因是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没有公务用车</w:t>
      </w:r>
      <w:r>
        <w:rPr>
          <w:rFonts w:hint="eastAsia" w:ascii="仿宋" w:hAnsi="仿宋" w:eastAsia="仿宋" w:cs="仿宋"/>
          <w:sz w:val="28"/>
          <w:szCs w:val="28"/>
        </w:rPr>
        <w:t>。主要包括：（1）报废辆、更新购置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辆，购置费支出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元，平均每辆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元；（2）公务车保有量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辆，全年运行维护费支出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元，平均每辆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本馆皮卡汽车是业务用车，流动书香车也是业务用车，不属于公务用车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3.公务接待批次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批，人数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人，公务接待费支出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与</w:t>
      </w:r>
      <w:r>
        <w:rPr>
          <w:rFonts w:hint="eastAsia" w:ascii="仿宋" w:hAnsi="仿宋" w:eastAsia="仿宋" w:cs="仿宋"/>
          <w:sz w:val="28"/>
          <w:szCs w:val="28"/>
        </w:rPr>
        <w:t>2014年决算数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持平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80" w:lineRule="exact"/>
        <w:ind w:left="-185" w:leftChars="-88" w:right="-315" w:rightChars="-150" w:firstLine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（四）机关运行经费支出说明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2015年本部门机关运行经费支出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0.03</w:t>
      </w:r>
      <w:r>
        <w:rPr>
          <w:rFonts w:hint="eastAsia" w:ascii="仿宋" w:hAnsi="仿宋" w:eastAsia="仿宋" w:cs="仿宋"/>
          <w:sz w:val="28"/>
          <w:szCs w:val="28"/>
        </w:rPr>
        <w:t>万元，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比</w:t>
      </w:r>
      <w:r>
        <w:rPr>
          <w:rFonts w:hint="eastAsia" w:ascii="仿宋" w:hAnsi="仿宋" w:eastAsia="仿宋" w:cs="仿宋"/>
          <w:sz w:val="28"/>
          <w:szCs w:val="28"/>
        </w:rPr>
        <w:t>2014年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减少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0.01</w:t>
      </w:r>
      <w:r>
        <w:rPr>
          <w:rFonts w:hint="eastAsia" w:ascii="仿宋" w:hAnsi="仿宋" w:eastAsia="仿宋" w:cs="仿宋"/>
          <w:sz w:val="28"/>
          <w:szCs w:val="28"/>
        </w:rPr>
        <w:t>万元，降低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35.50</w:t>
      </w:r>
      <w:r>
        <w:rPr>
          <w:rFonts w:hint="eastAsia" w:ascii="仿宋" w:hAnsi="仿宋" w:eastAsia="仿宋" w:cs="仿宋"/>
          <w:sz w:val="28"/>
          <w:szCs w:val="28"/>
        </w:rPr>
        <w:t>%。主要原因是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部分公用经费用于项目支出，弥补经费不足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580" w:lineRule="exact"/>
        <w:ind w:left="-185" w:leftChars="-88" w:right="-315" w:rightChars="-150" w:firstLine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（五）政府采购支出说明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2015年本部门（单位）政府采购支出总额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元，其中：政府采购货物支出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元、政府采购工程支出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元、政府采购服务支出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元。授予中小企业合同金额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元，占政府采购支出总额的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%，其中：授予小微企业合同金额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元，占政府采购支出总额的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%。</w:t>
      </w:r>
    </w:p>
    <w:p>
      <w:pPr>
        <w:spacing w:line="580" w:lineRule="exact"/>
        <w:ind w:left="-185" w:leftChars="-88" w:right="-315" w:rightChars="-150" w:firstLine="64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（六）国有资产占用情况说明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截至2015年12月31日，本部门（单位）共有车辆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辆，其中，副处（区）级及以上领导用车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辆、一般公务用车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辆、一般执法执勤用车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辆、特种专业技术用车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辆、其他用车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辆，其他用车主要是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皮卡汽车，另外，流动书香车由我馆使用，支付运行维护费</w:t>
      </w:r>
      <w:r>
        <w:rPr>
          <w:rFonts w:hint="eastAsia" w:ascii="仿宋" w:hAnsi="仿宋" w:eastAsia="仿宋" w:cs="仿宋"/>
          <w:sz w:val="28"/>
          <w:szCs w:val="28"/>
        </w:rPr>
        <w:t>；单位价值200万元以上大型设备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"/>
          <w:sz w:val="28"/>
          <w:szCs w:val="28"/>
        </w:rPr>
        <w:t>台（套）。</w:t>
      </w:r>
    </w:p>
    <w:p>
      <w:pPr>
        <w:tabs>
          <w:tab w:val="left" w:pos="6840"/>
        </w:tabs>
        <w:spacing w:line="580" w:lineRule="exact"/>
        <w:ind w:left="-185" w:leftChars="-88" w:right="-315" w:rightChars="-150" w:firstLine="643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（七）预算绩效管理工作开展情况说明</w:t>
      </w:r>
      <w:r>
        <w:rPr>
          <w:rFonts w:hint="eastAsia" w:ascii="仿宋" w:hAnsi="仿宋" w:eastAsia="仿宋" w:cs="仿宋"/>
          <w:b/>
          <w:sz w:val="28"/>
          <w:szCs w:val="28"/>
        </w:rPr>
        <w:tab/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无</w:t>
      </w:r>
      <w:r>
        <w:rPr>
          <w:rFonts w:hint="eastAsia" w:ascii="仿宋" w:hAnsi="仿宋" w:eastAsia="仿宋" w:cs="仿宋"/>
          <w:sz w:val="28"/>
          <w:szCs w:val="28"/>
        </w:rPr>
        <w:t>民生项目和重点支出项目</w:t>
      </w:r>
    </w:p>
    <w:p>
      <w:pPr>
        <w:spacing w:line="580" w:lineRule="exact"/>
        <w:ind w:right="-315" w:rightChars="-150" w:firstLine="630" w:firstLineChars="196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三、专业名词解释</w:t>
      </w:r>
    </w:p>
    <w:p>
      <w:pPr>
        <w:spacing w:line="580" w:lineRule="exact"/>
        <w:ind w:left="-185" w:leftChars="-88" w:right="-315" w:rightChars="-150" w:firstLine="64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财政拨款收入：是指一般公共预算和政府性基金的拨款；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财政拨款支出：是指使用一般公共预算和政府性基金拨款的支出；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line="580" w:lineRule="exact"/>
        <w:ind w:left="-185" w:leftChars="-88" w:right="-315" w:rightChars="-150" w:firstLine="64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机关运行经费支出：是指为保障机关运行，用于购买货物和服务的各项资金，包括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办公费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sectPr>
      <w:pgSz w:w="11906" w:h="16838"/>
      <w:pgMar w:top="720" w:right="720" w:bottom="323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  <w:rsid w:val="0FFB0E7B"/>
    <w:rsid w:val="1B7A0558"/>
    <w:rsid w:val="219F173D"/>
    <w:rsid w:val="35E20DE3"/>
    <w:rsid w:val="48EC6168"/>
    <w:rsid w:val="6C425D54"/>
    <w:rsid w:val="6DD26C0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308</Words>
  <Characters>1756</Characters>
  <Lines>14</Lines>
  <Paragraphs>4</Paragraphs>
  <ScaleCrop>false</ScaleCrop>
  <LinksUpToDate>false</LinksUpToDate>
  <CharactersWithSpaces>2060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2016-09-13T08:59:00Z</dcterms:created>
  <dc:creator>辛妙玲</dc:creator>
  <cp:lastModifiedBy>Administrator</cp:lastModifiedBy>
  <cp:lastPrinted>2016-09-29T01:30:00Z</cp:lastPrinted>
  <dcterms:modified xsi:type="dcterms:W3CDTF">2016-09-29T03:24:15Z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