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183" w:leftChars="-88" w:right="-315" w:rightChars="-150" w:hanging="2"/>
        <w:jc w:val="center"/>
        <w:rPr>
          <w:rFonts w:hint="eastAsia" w:asciiTheme="majorEastAsia" w:hAnsiTheme="majorEastAsia" w:eastAsiaTheme="majorEastAsia" w:cstheme="majorEastAsia"/>
          <w:b/>
          <w:bCs/>
          <w:sz w:val="44"/>
          <w:szCs w:val="44"/>
          <w:lang w:eastAsia="zh-CN"/>
        </w:rPr>
      </w:pPr>
      <w:r>
        <w:rPr>
          <w:rFonts w:hint="eastAsia" w:asciiTheme="majorEastAsia" w:hAnsiTheme="majorEastAsia" w:eastAsiaTheme="majorEastAsia" w:cstheme="majorEastAsia"/>
          <w:b/>
          <w:bCs/>
          <w:sz w:val="44"/>
          <w:szCs w:val="44"/>
        </w:rPr>
        <w:t>2015年</w:t>
      </w:r>
      <w:r>
        <w:rPr>
          <w:rFonts w:hint="eastAsia" w:asciiTheme="majorEastAsia" w:hAnsiTheme="majorEastAsia" w:eastAsiaTheme="majorEastAsia" w:cstheme="majorEastAsia"/>
          <w:b/>
          <w:bCs/>
          <w:sz w:val="44"/>
          <w:szCs w:val="44"/>
          <w:lang w:eastAsia="zh-CN"/>
        </w:rPr>
        <w:t>中共汕头市金平区委办公室</w:t>
      </w:r>
    </w:p>
    <w:p>
      <w:pPr>
        <w:ind w:left="-183" w:leftChars="-88" w:right="-315" w:rightChars="-150" w:hanging="2"/>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部门决算基本情况说明</w:t>
      </w:r>
    </w:p>
    <w:p>
      <w:pPr>
        <w:ind w:left="-185" w:leftChars="-88" w:right="-315" w:rightChars="-150" w:firstLine="640"/>
        <w:rPr>
          <w:rFonts w:ascii="黑体" w:hAnsi="黑体" w:eastAsia="黑体"/>
          <w:szCs w:val="32"/>
        </w:rPr>
      </w:pPr>
    </w:p>
    <w:p>
      <w:pPr>
        <w:spacing w:line="580" w:lineRule="exact"/>
        <w:ind w:right="-315" w:rightChars="-150" w:firstLine="643" w:firstLineChars="200"/>
        <w:rPr>
          <w:rFonts w:hint="eastAsia" w:ascii="黑体" w:hAnsi="黑体" w:eastAsia="黑体" w:cs="黑体"/>
          <w:b w:val="0"/>
          <w:bCs/>
          <w:sz w:val="32"/>
          <w:szCs w:val="32"/>
        </w:rPr>
      </w:pPr>
      <w:r>
        <w:rPr>
          <w:rFonts w:hint="eastAsia" w:ascii="黑体" w:hAnsi="黑体" w:eastAsia="黑体" w:cs="黑体"/>
          <w:b w:val="0"/>
          <w:bCs/>
          <w:sz w:val="32"/>
          <w:szCs w:val="32"/>
        </w:rPr>
        <w:t>一、部门基本情况</w:t>
      </w:r>
    </w:p>
    <w:p>
      <w:pPr>
        <w:spacing w:line="288" w:lineRule="auto"/>
        <w:ind w:right="-50" w:rightChars="-24" w:firstLine="630" w:firstLineChars="196"/>
        <w:rPr>
          <w:rFonts w:hint="eastAsia" w:ascii="楷体" w:hAnsi="楷体" w:eastAsia="楷体" w:cs="楷体"/>
          <w:b/>
          <w:bCs w:val="0"/>
          <w:sz w:val="32"/>
          <w:szCs w:val="32"/>
        </w:rPr>
      </w:pPr>
      <w:r>
        <w:rPr>
          <w:rFonts w:hint="eastAsia" w:ascii="楷体" w:hAnsi="楷体" w:eastAsia="楷体" w:cs="楷体"/>
          <w:b/>
          <w:bCs w:val="0"/>
          <w:sz w:val="32"/>
          <w:szCs w:val="32"/>
        </w:rPr>
        <w:t>（一）部门机构设置、职能</w:t>
      </w:r>
    </w:p>
    <w:p>
      <w:pPr>
        <w:spacing w:line="288" w:lineRule="auto"/>
        <w:ind w:right="-50" w:rightChars="-24"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区委区政府办公室（</w:t>
      </w:r>
      <w:r>
        <w:rPr>
          <w:rFonts w:hint="eastAsia" w:ascii="仿宋_GB2312" w:hAnsi="仿宋_GB2312" w:eastAsia="仿宋_GB2312" w:cs="仿宋_GB2312"/>
          <w:sz w:val="32"/>
          <w:szCs w:val="32"/>
          <w:lang w:eastAsia="zh-CN"/>
        </w:rPr>
        <w:t>区委改革办、</w:t>
      </w:r>
      <w:r>
        <w:rPr>
          <w:rFonts w:hint="eastAsia" w:ascii="仿宋_GB2312" w:hAnsi="仿宋_GB2312" w:eastAsia="仿宋_GB2312" w:cs="仿宋_GB2312"/>
          <w:sz w:val="32"/>
          <w:szCs w:val="32"/>
        </w:rPr>
        <w:t>区外事侨务局、区法制局、区金融局）内设以下职能股（室、局）：</w:t>
      </w:r>
      <w:r>
        <w:rPr>
          <w:rFonts w:hint="eastAsia" w:ascii="仿宋_GB2312" w:hAnsi="仿宋_GB2312" w:eastAsia="仿宋_GB2312" w:cs="仿宋_GB2312"/>
          <w:sz w:val="32"/>
          <w:szCs w:val="32"/>
          <w:lang w:eastAsia="zh-CN"/>
        </w:rPr>
        <w:t>保密局（副科级）、</w:t>
      </w:r>
      <w:r>
        <w:rPr>
          <w:rFonts w:hint="eastAsia" w:ascii="仿宋_GB2312" w:hAnsi="仿宋_GB2312" w:eastAsia="仿宋_GB2312" w:cs="仿宋_GB2312"/>
          <w:sz w:val="32"/>
          <w:szCs w:val="32"/>
        </w:rPr>
        <w:t>信访局（副科级），调研室（副科级），区应急管理办公室（区应急指挥中心，副科级），秘书股，综合一股，综合二股，综合三股（外事侨务股），综合四股，综合五股（社会信用服务办公室），区委、区政府督查室，行政股，人事股（监察室），信息综合室。</w:t>
      </w:r>
    </w:p>
    <w:p>
      <w:pPr>
        <w:spacing w:line="288" w:lineRule="auto"/>
        <w:ind w:right="-50" w:rightChars="-24"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区委区政府办公室辖下无独立会计核算，纳入本单位部门预算编制范围的单位为：区档案局、区信息中心、区公共资源交易中心、区党史地志办。</w:t>
      </w:r>
    </w:p>
    <w:p>
      <w:pPr>
        <w:spacing w:line="288" w:lineRule="auto"/>
        <w:ind w:right="-50" w:rightChars="-24"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区委区政府办公室的主要职责是：1. 贯彻执行党的路线、方针、政策，落实区委、区政府工作部署并组织有关实施工作。2. 负责区委、区政府日常文电的处理；承担区委、区政府文件、文稿的起草、打印、校核和发放工作；负责区委、区政府重大活动的组织安排。3. 负责上级和区委、区政府各项决议、决定、重要工作部署贯彻落实的检查、督办。4. 围绕区委、区政府中心工作，开展调研，收集信息，反映情况，提出建议；起草、修改区委、区政府工作报告和区委、区政府指定由区委区政府办公室起草的重要文稿。5. 负责处理群众来信来访，及时向区委、区政府报告来信来访中的重大情况和问题，并提出处理建议。6.负责组织实施全区公有企业改制工作。7.负责全区社会诚信建设的调研、规划、协调、联络工作。8.负责全区应急管理工作、突发事件处理及救助的组织联络、办公室日常值班管理等工作。9.负责全区重要信息收集、报送、公开等工作。10.组织办理人大代表议案、政协委员提案，协调、检查、督促全区议案建议、提案的办理工作。11.贯彻落实党和国家的外事侨务政策，承办区委、区政府涉外、涉侨事务。12.负责区委、区政府行政事务管理工作；协调、指导区机关事务管理局工作。13.承办区委、区政府和上级有关部门交办的其他工作。</w:t>
      </w:r>
    </w:p>
    <w:p>
      <w:pPr>
        <w:spacing w:line="288" w:lineRule="auto"/>
        <w:ind w:right="-50" w:rightChars="-24"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中共汕头市金平区委全面深化改革领导小组办公室</w:t>
      </w:r>
      <w:r>
        <w:rPr>
          <w:rFonts w:hint="eastAsia" w:ascii="仿宋_GB2312" w:hAnsi="仿宋_GB2312" w:eastAsia="仿宋_GB2312" w:cs="仿宋_GB2312"/>
          <w:sz w:val="32"/>
          <w:szCs w:val="32"/>
        </w:rPr>
        <w:t>的主要职责是</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汇总提出年度区委全面深化改革领导小组工作要点；2.向领导小组提交年度改革进度和评估报告；3.承担向市委改革办有关改革工作报备、请示、联络等工作；4.组织开展全面深化改革重大问题的政策研究；5.统筹协调有关方面提出的改革方案和措施；6.协调督促有关方面落实领导小组的决定事项、工作部署及要求；7.研究处理有关方面提出的重大改革事项及相关请示，向领导小组提出建议；8.联系、协调、督促、检查、推动各专项改革小组和各部门改革工作；9.收集汇总有关改革问题的信息资料；10.联系有关研究机构和专家学者就改革重要问题进行研究和咨询；11.负责推进全区深化改革工作部署的组织实施，对全区改革工作情况和成效进行跟踪指导和检查评估；12.负责领导小组的值班联络、会议组织、简报编印、资料管理等工作。</w:t>
      </w:r>
    </w:p>
    <w:p>
      <w:pPr>
        <w:spacing w:line="288" w:lineRule="auto"/>
        <w:ind w:right="-50" w:rightChars="-24"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金平区人民政府金融工作局的主要职责是：1.贯彻执行国家和省、市关于金融工作的方针政策和法律法规；落实区委、区政府有关金融工作的重要部署。2.配合上级机关开展金融改革创新和区域金融中心建设等工作；引导和支持各类金融机构的改革创新，加大对地方经济和各项事业发展的支持。3.大力发展利用资本市场，筛选、培育拟上市企业，指导、推动企业改制上市；协助设立投资基金、债权等相关融资工作。4.培育和发展农村金融体系，推进农村信用社改革发展工作；对小额贷款公司、融资性担保机构等地方金融机构进行市场监管，会同有关部门防范化解地方金融机构风险。5.引导保险机构创新发展各种惠及民计民生的业务，形成多层次社会保障的“民生金融”。6.支持和配合上级派驻监管机构对各银行、证券、期货、保险、信托等金融机构及行业自律组织的监管以及防范、处置、化解金融机构的金融风险问题，配合有关部门查处、打击非法金融机构和非法金融业务活动。7.协调组织本级政府与金融机构的战略合作，推进银企合作；加强对各类金融机构的服务，实现金融与实体经济的对接融合，促进地方经济协调稳定发展。8.承办区委、区政府和上级有关部门交办的其他事项。</w:t>
      </w:r>
    </w:p>
    <w:p>
      <w:pPr>
        <w:spacing w:line="288" w:lineRule="auto"/>
        <w:ind w:right="-50" w:rightChars="-24"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金平区人民政府法制局的主要职责是：1.贯彻执行国家、省、市有关法制工作的方针政策，承担全区依法行政的统筹规划、综合协调、督促指导、政策研究和情况交流工作。调查研究依法行政中出现的新情况、新问题，提出推进依法行政的具体措施和工作建议。2.承担统筹规划政府立法工作。组织编制并实施立法规划、年度立法计划和立法后评估计划，组织起草、审查区政府规范性文件草案。负责区政府规范性文件的备案、组织评估和清理工作。承办法律、法规、规章、规范性文件草案的征求意见工作。3.承担行政执法监督的责任。建立、完善和组织实施行政执法监督制度。审查重大行政执法行为和事项。负责省政府行政执法证件、行政执法督察证件的审核、报批、发放和监督使用工作。负责指导和监督全区行政执法机关开展行政执法活动。负责全区行政执法投诉处理和行政执法争议协调工作。4.负责区政府行政应诉事务工作。承办区政府的行政应诉和行政赔偿案件。对行政机关及其工作人员违反有关规定的行为提出处理意见。监督、检查、协调、指导全区行政应诉和行政赔偿工作。5.负责规范性文件的审查、监督和指导工作；负责区政府行政决策法律审查（审核）工作。包括重大行政决策、区政府规范性文件和具体政务事项的法律审查（审核）；负责政府法制宣传、培训、研究、交流的组织工作。6.承办区委区政府和上级有关部门交办的其他事项。</w:t>
      </w:r>
    </w:p>
    <w:p>
      <w:pPr>
        <w:spacing w:line="288" w:lineRule="auto"/>
        <w:ind w:right="-50" w:rightChars="-24"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金平区委党史研究室、金平区地方志办公室的主要职责是：1.贯彻落实中央、省委、市委、区委有关党史工作和国家、省政府、市政府、区政府有关地方志工作的方针政策和法规；制订全区党史、地方志工作规划，指导和协调全区党史、地方志资料征集、整理、研究、编纂工作。2.承担中国共产党在金平区的历史资料的征集、整理、研究、编纂工作；编写金平党史和重要党史人物传记；开展党史宣传教育工作；综合利用党史资料和研究成果，为有关部门提供咨询服务。3.按照国务院关于修志的基本原则，对《汕头市金平区志》进行初纂、分纂和总纂工作。4.建立区地情基础资料信息库，组织对地情资料的研究及宣传，为区经济社会建设提供地情咨询服务。5.负责收集、整理、汇编金平历代海内外专家、学者及名人的专著资料；协调各部门和社会团体共同做好文献的征集和利用。6.培训党史、地方志部门业务骨干；组织表彰和奖励党史、地方志工作的先进单位和先进个人。7.组织党史、地方志学术交流活动，组织党史、地方志交流工作经验。8.完成区委、区政府及中央、省、市委党史部门和国家、省、市地方志部门交办的其他工作。</w:t>
      </w:r>
    </w:p>
    <w:p>
      <w:pPr>
        <w:spacing w:line="288" w:lineRule="auto"/>
        <w:ind w:right="-50" w:rightChars="-24" w:firstLine="630" w:firstLineChars="196"/>
        <w:rPr>
          <w:rFonts w:hint="eastAsia" w:ascii="楷体" w:hAnsi="楷体" w:eastAsia="楷体" w:cs="楷体"/>
          <w:b/>
          <w:sz w:val="32"/>
          <w:szCs w:val="32"/>
        </w:rPr>
      </w:pPr>
      <w:r>
        <w:rPr>
          <w:rFonts w:hint="eastAsia" w:ascii="楷体" w:hAnsi="楷体" w:eastAsia="楷体" w:cs="楷体"/>
          <w:b/>
          <w:sz w:val="32"/>
          <w:szCs w:val="32"/>
        </w:rPr>
        <w:t>（二）人员构成情况</w:t>
      </w:r>
    </w:p>
    <w:p>
      <w:pPr>
        <w:spacing w:line="288" w:lineRule="auto"/>
        <w:ind w:right="-50" w:rightChars="-24"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截止201</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年12月31日，编制数</w:t>
      </w:r>
      <w:r>
        <w:rPr>
          <w:rFonts w:hint="eastAsia" w:ascii="仿宋_GB2312" w:hAnsi="仿宋_GB2312" w:eastAsia="仿宋_GB2312" w:cs="仿宋_GB2312"/>
          <w:sz w:val="32"/>
          <w:szCs w:val="32"/>
          <w:lang w:val="en-US" w:eastAsia="zh-CN"/>
        </w:rPr>
        <w:t>101</w:t>
      </w:r>
      <w:r>
        <w:rPr>
          <w:rFonts w:hint="eastAsia" w:ascii="仿宋_GB2312" w:hAnsi="仿宋_GB2312" w:eastAsia="仿宋_GB2312" w:cs="仿宋_GB2312"/>
          <w:sz w:val="32"/>
          <w:szCs w:val="32"/>
        </w:rPr>
        <w:t>人，实际在职人数</w:t>
      </w:r>
      <w:r>
        <w:rPr>
          <w:rFonts w:hint="eastAsia" w:ascii="仿宋_GB2312" w:hAnsi="仿宋_GB2312" w:eastAsia="仿宋_GB2312" w:cs="仿宋_GB2312"/>
          <w:sz w:val="32"/>
          <w:szCs w:val="32"/>
          <w:lang w:val="en-US" w:eastAsia="zh-CN"/>
        </w:rPr>
        <w:t>98</w:t>
      </w:r>
      <w:r>
        <w:rPr>
          <w:rFonts w:hint="eastAsia" w:ascii="仿宋_GB2312" w:hAnsi="仿宋_GB2312" w:eastAsia="仿宋_GB2312" w:cs="仿宋_GB2312"/>
          <w:sz w:val="32"/>
          <w:szCs w:val="32"/>
        </w:rPr>
        <w:t>人。</w:t>
      </w:r>
      <w:r>
        <w:rPr>
          <w:rFonts w:hint="eastAsia" w:ascii="仿宋_GB2312" w:hAnsi="仿宋_GB2312" w:eastAsia="仿宋_GB2312" w:cs="仿宋_GB2312"/>
          <w:sz w:val="32"/>
          <w:szCs w:val="32"/>
          <w:lang w:eastAsia="zh-CN"/>
        </w:rPr>
        <w:t>离退休人员人数</w:t>
      </w:r>
      <w:r>
        <w:rPr>
          <w:rFonts w:hint="eastAsia" w:ascii="仿宋_GB2312" w:hAnsi="仿宋_GB2312" w:eastAsia="仿宋_GB2312" w:cs="仿宋_GB2312"/>
          <w:sz w:val="32"/>
          <w:szCs w:val="32"/>
          <w:lang w:val="en-US" w:eastAsia="zh-CN"/>
        </w:rPr>
        <w:t>115人，其中离休人员7人、退休人员108人。</w:t>
      </w:r>
    </w:p>
    <w:p>
      <w:pPr>
        <w:spacing w:line="288" w:lineRule="auto"/>
        <w:ind w:right="-50" w:rightChars="-24" w:firstLine="630" w:firstLineChars="196"/>
        <w:rPr>
          <w:rFonts w:hint="eastAsia" w:ascii="楷体" w:hAnsi="楷体" w:eastAsia="楷体" w:cs="楷体"/>
          <w:b/>
          <w:sz w:val="32"/>
          <w:szCs w:val="32"/>
        </w:rPr>
      </w:pPr>
      <w:r>
        <w:rPr>
          <w:rFonts w:hint="eastAsia" w:ascii="楷体" w:hAnsi="楷体" w:eastAsia="楷体" w:cs="楷体"/>
          <w:b/>
          <w:sz w:val="32"/>
          <w:szCs w:val="32"/>
        </w:rPr>
        <w:t>（三）决算年度的主要工作任务</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2015年</w:t>
      </w:r>
      <w:r>
        <w:rPr>
          <w:rFonts w:hint="eastAsia" w:ascii="仿宋_GB2312" w:hAnsi="仿宋_GB2312" w:eastAsia="仿宋_GB2312" w:cs="仿宋_GB2312"/>
          <w:sz w:val="32"/>
          <w:szCs w:val="32"/>
        </w:rPr>
        <w:t>面对复杂多变的国内外经济形势和艰巨繁重的改革发展稳定任务，区党政办认真贯彻落实中央、省、市、区系列决策部署，紧紧围绕区委、区政府中心工作，积极发挥职能作用，奋发拼搏、主动作为，不断提升“三服务”水平，有效保障全区工作高效运转、政令畅通无阻、决策落地生根，真正当好区委、区政府的“前哨”“后院”。办公室被评为市“第一批培育和践行社会主义核心价值观示范点”，团支部获评“省五四红旗团支部”，应急办获评市“青年文明号”。</w:t>
      </w:r>
    </w:p>
    <w:p>
      <w:pPr>
        <w:spacing w:line="600" w:lineRule="exact"/>
        <w:ind w:firstLine="640" w:firstLineChars="200"/>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一是勤思乐研，为科学决策献计出力。</w:t>
      </w:r>
      <w:r>
        <w:rPr>
          <w:rFonts w:hint="eastAsia" w:ascii="仿宋_GB2312" w:hAnsi="仿宋_GB2312" w:eastAsia="仿宋_GB2312" w:cs="仿宋_GB2312"/>
          <w:sz w:val="32"/>
          <w:szCs w:val="32"/>
        </w:rPr>
        <w:t>始终坚持围绕中心、服务大局，聚焦金平发展重点、改革难点、民生热点，充分发挥第一参谋助手的作用。扎实开展调查研究，主动承接省委政研室委托的研究课题，联合市委政研室开展专题调研活动。围绕编制“十三五”规划开展多项专题调研，先后形成了《金平区关于企业“落地难”问题的报告》、《金平区城市管理长效机制改革调研报告》、《关于规范集贸市场管理的调研报告》等一批较高质量的调研报告。立足服务领导决策的高度，精益求精提高文稿撰写质量，完成区委全会工作报告、政府工作报告、《全面推进依法治区的实施意见》、区党政主要领导任期经济责任述职、《区“十三五”规划建议》等一批重要文稿，以及经济分析会、“三严三实”专题教育等各类重要会议材料的起草任务、录音整理等工作，全年共起草文稿超490篇逾260万字。多渠道多形式服务决策，利用信息化手段，创建《金平早读》、《决策参考》、《党群E讯》、《金平快讯》四个手机报栏目，编辑时政新闻、政策解读、各地先进经验做法、践行群众路线动态、区内各单位工作亮点及成效等内容资料，及时发送至区各套领导班子及各单位主要领导，方便领导干部及时掌握全区工作动态，去年共编发242期。此外，编发纸质版《决策参阅》22期，其中区委区政府主要领导作出重要批示7次。及时将我区工作特色亮点、社情民意及基层呼声在第一时间报送上级部门，去年共向省、市报送信息专报158篇次，被省、市分别采用5和56篇次，区委主要领导作出重要批示7次，上报省信息被采用在全市各区县中列第一名。</w:t>
      </w:r>
    </w:p>
    <w:p>
      <w:pPr>
        <w:spacing w:line="600" w:lineRule="exact"/>
        <w:ind w:firstLine="640" w:firstLineChars="200"/>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二是提质增效，推动政务运转规范有序。</w:t>
      </w:r>
      <w:r>
        <w:rPr>
          <w:rFonts w:hint="eastAsia" w:ascii="仿宋_GB2312" w:hAnsi="仿宋_GB2312" w:eastAsia="仿宋_GB2312" w:cs="仿宋_GB2312"/>
          <w:sz w:val="32"/>
          <w:szCs w:val="32"/>
        </w:rPr>
        <w:t>积极发挥运转中枢作用，精细办文、高效办会、周全办事，努力做到各项工作无缝对接、服务到位。对上加强同市级机关的沟通联系，争取工作支持；对下加强与街道、区直部门的联系，保证上下贯通；横向协调同区几套班子的关系，形成发展合力，确保区委、区政府日常工作有序开展。坚决落实中央“八项规定”以及省、市、区《实施办法》，大力精简文山会海，一年来共办理上级来文4000多件，区内机关、企业、群众来文585件；组织筹备全区性会议81场次，区委常委会23场次，区政府常务会15场次，得到了区党政领导和兄弟单位、基层单位的肯定。大力加强应急值守管理工作，确保应急处置及时、规范、科学、准确。全年共向市委、市政府报送《突发事件信息专报》54期，报送莲塘动态334期；通过应急信息平台向区领导和有关部门、街道发送信息近3万条次。建立健全应急机制，先后修订《汕头市金平区地震应急预案》、《金平区生产安全事故应急预案》，及时制订、实施《2015年金平区预防和处置公共安全事件专项行动方案》和《金平区突发事件风险隐患排查和整改工作方案》等，并成功组织省第五届“百人百场”应急知识宣讲活动和地震应急避险疏散演练暨应急知识宣讲培训活动等。大力推进外事、保密、档案等工作。严格规范外事服务工作，严把审核关，并做好相关服务工作。按照“确保绝对安全、确保绝对畅通”总要求，高效做好党政机关密码通信服务保障工作，“零差错”完成明密电报办理任务；严格执行保密管理制度，时刻树立“保密无小事”意识，切实加强保密宣传教育、保密检查等工作；按照保密规定和党政机关公文处理条例要求，优质高效地完成上级公文的办理任务。组织机要人员参加业务培训，进一步提高机要信息管理水平。推进档案资源、利用和安全体系建设，做好档案行政管理和档案保管利用工作。</w:t>
      </w:r>
    </w:p>
    <w:p>
      <w:pPr>
        <w:spacing w:line="600" w:lineRule="exact"/>
        <w:ind w:firstLine="640" w:firstLineChars="200"/>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三是强化督查，确保政策措施落到实处。</w:t>
      </w:r>
      <w:r>
        <w:rPr>
          <w:rFonts w:hint="eastAsia" w:ascii="仿宋_GB2312" w:hAnsi="仿宋_GB2312" w:eastAsia="仿宋_GB2312" w:cs="仿宋_GB2312"/>
          <w:sz w:val="32"/>
          <w:szCs w:val="32"/>
        </w:rPr>
        <w:t>制订《关于进一步加强政府督促检查工作推动决策部署落实的实施意见》，进一步健全督查督办机制。加大对上级和区委、区政府决策部署的督办力度，每月开展一次专题督导，定期通报，全年共发出《督办通知》39份，督办事项140个，专题督办46次，形成《督查专报》19期，圆满办理市、区人大、政协提案建议80件。认真细致落实上级督查督办任务，对中央“八项规定”落实情况、国务院重大政策措施整改工作、社会领域中央投资项目推进情况、2014年以来出台的惠企政策措施落实情况、市委常委扩大会议决定事项落实情况等专题督办任务进行跟踪督办，形成专题报告上报。切实抓好区委全会工作报告和政府工作报告确定事项、重要会议决定事项、十件民生实事以及群众关注事项的督查督办，落实各牵头单位，细化工作计划、责任分工和各阶段工作时限要求，全年对涉及全区45个单位的140项重点事项进行跟踪督查，全力确保贯彻到底、落实到位。在创卫工作期间，主动作为，组织办公室精干力量到社区、路面深入进行创卫巡查，第一时间发现存在问题，第一时间通知有关街道、部门进行整改，共对73个地点进行暗访督查，专题通报13期，曝光突出问题59个，为我区顺利通过创卫复审做出了积极贡献。对党政办阶段性的重点工作，及时分解落实到班子成员、各股（室、局），明确任务分工和完成时限、质量要求，加大督查力度，确保按时高效完成。</w:t>
      </w:r>
    </w:p>
    <w:p>
      <w:pPr>
        <w:spacing w:line="600" w:lineRule="exact"/>
        <w:ind w:firstLine="640" w:firstLineChars="200"/>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四是优化服务，助推经济社会加快发展。</w:t>
      </w:r>
      <w:r>
        <w:rPr>
          <w:rFonts w:hint="eastAsia" w:ascii="仿宋_GB2312" w:hAnsi="仿宋_GB2312" w:eastAsia="仿宋_GB2312" w:cs="仿宋_GB2312"/>
          <w:sz w:val="32"/>
          <w:szCs w:val="32"/>
        </w:rPr>
        <w:t>提升金融服务水平，积极扶持引导企业上市上板，全年共有4家企业成功挂牌上市，另有4家企业在“新三板”挂牌，目前全区上市企业达到9家，列全市第一；制订《金平区涉金融矛盾纠纷专项治理工作方案》及《金平区开展非法集资问题专项整治活动工作意见》，加强对涉金融矛盾纠纷及非法集资情况的排查，有效预防金融风险，维护地方金融稳定，有关经验做法在全市金融工作会上作专题发言。高效履行法制服务职能，实行区政府法律顾问制度，共审核涉及政府决策的文件30多份，办理立法征求意见稿43件，研究出台《金平区行政执法记录制度指引》、《金平区行政执法协作指引》等指导性文件；建立并实施区政府常务会议学法制度，制定《2015年度金平区政府常务会议学法计划》，组织领导干部开展学法活动4场次。加强公共资源交易管理，编制《汕头市金平区公共资源交易中心监督管理办法》，实行统一信息发布、统一报名受理、统一抽取专家、统一主要交易场所和程序监督“四统一”，进一步规范公共（集体）“三资”交易行为。去年提交区平台的公有（集体）资产交易共79宗，成功交易75宗，其中，集体资产32宗，年租金增长142.06万元，增幅达30.3%；公有资产43宗，年租金增长44.08万元，增幅达21.5%，有力促进了公有（集体）资产的保值增值。大力改进12345服务热线工作流程，提升承办效率，共收到工单9312单，办结9055单，占比达到97%，较好地解决了一批关系群众切身利益的问题。认真贯彻落实新修订的《广东省信访条例》，规范畅通信访渠道，维护群众合法权益，全区全年信访总量下降35%，办结率100%，推动石炮台街道姚毓仁、北墩金凤路桥等一批信访积案、“骨头案”有效解决，有力维护了全区和谐稳定。</w:t>
      </w:r>
    </w:p>
    <w:p>
      <w:pPr>
        <w:spacing w:line="600" w:lineRule="exact"/>
        <w:ind w:firstLine="640" w:firstLineChars="200"/>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五是强基固本，干部队伍建设不断加强。</w:t>
      </w:r>
      <w:r>
        <w:rPr>
          <w:rFonts w:hint="eastAsia" w:ascii="仿宋_GB2312" w:hAnsi="仿宋_GB2312" w:eastAsia="仿宋_GB2312" w:cs="仿宋_GB2312"/>
          <w:sz w:val="32"/>
          <w:szCs w:val="32"/>
        </w:rPr>
        <w:t>坚决贯彻落实党的十八大、十八届三中、四中、五中全会以及习近平总书记系列重要讲话精神尤其是关于办公室工作“五个坚持”重要指示精神，深入开展“三严三实”专题教育和“正风肃纪促发展”活动，出台《机关作风“五要十不准”制度》等专项制度，严格执行打卡上下班、配证上岗等工作纪律和考勤纪律，并开展常态化作风巡查，推动办公室作风不断改进。将《秘书工作的风范——习近平与地县办公室干部谈心》、《在同中央办公厅各单位班子成员和干部职工代表座谈时的讲话》等列为重要学习内容，订购《党建》、《学习》等学习资料，及时组织党员干部学习，开展“忠诚与责任——践行‘五个坚持’当合格办公室干部”专题报告，组织全办同志前往南澳总兵府廉政教育基地接受廉政教育，不断坚定理想信念，提升思想层次，增强“三服务”的使命感和责任感。</w:t>
      </w:r>
    </w:p>
    <w:p>
      <w:pPr>
        <w:spacing w:line="288" w:lineRule="auto"/>
        <w:ind w:right="-50" w:rightChars="-24" w:firstLine="630" w:firstLineChars="196"/>
        <w:rPr>
          <w:rFonts w:hint="eastAsia" w:ascii="黑体" w:hAnsi="黑体" w:eastAsia="黑体" w:cs="黑体"/>
          <w:b w:val="0"/>
          <w:bCs/>
          <w:sz w:val="32"/>
          <w:szCs w:val="32"/>
        </w:rPr>
      </w:pPr>
      <w:r>
        <w:rPr>
          <w:rFonts w:hint="eastAsia" w:ascii="黑体" w:hAnsi="黑体" w:eastAsia="黑体" w:cs="黑体"/>
          <w:b w:val="0"/>
          <w:bCs/>
          <w:sz w:val="32"/>
          <w:szCs w:val="32"/>
        </w:rPr>
        <w:t>二、预算执行情况分析</w:t>
      </w:r>
    </w:p>
    <w:p>
      <w:pPr>
        <w:spacing w:line="288" w:lineRule="auto"/>
        <w:ind w:right="-50" w:rightChars="-24" w:firstLine="630" w:firstLineChars="196"/>
        <w:rPr>
          <w:rFonts w:hint="eastAsia" w:ascii="楷体" w:hAnsi="楷体" w:eastAsia="楷体" w:cs="楷体"/>
          <w:b/>
          <w:sz w:val="32"/>
          <w:szCs w:val="32"/>
        </w:rPr>
      </w:pPr>
      <w:r>
        <w:rPr>
          <w:rFonts w:hint="eastAsia" w:ascii="楷体" w:hAnsi="楷体" w:eastAsia="楷体" w:cs="楷体"/>
          <w:b/>
          <w:sz w:val="32"/>
          <w:szCs w:val="32"/>
        </w:rPr>
        <w:t>（一）收入情况说明</w:t>
      </w:r>
    </w:p>
    <w:p>
      <w:pPr>
        <w:spacing w:line="288" w:lineRule="auto"/>
        <w:ind w:right="-50" w:rightChars="-24"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2015年收入决算</w:t>
      </w:r>
      <w:r>
        <w:rPr>
          <w:rFonts w:hint="eastAsia" w:ascii="仿宋_GB2312" w:hAnsi="仿宋_GB2312" w:eastAsia="仿宋_GB2312" w:cs="仿宋_GB2312"/>
          <w:sz w:val="32"/>
          <w:szCs w:val="32"/>
          <w:lang w:val="en-US" w:eastAsia="zh-CN"/>
        </w:rPr>
        <w:t>2032.87</w:t>
      </w:r>
      <w:r>
        <w:rPr>
          <w:rFonts w:hint="eastAsia" w:ascii="仿宋_GB2312" w:hAnsi="仿宋_GB2312" w:eastAsia="仿宋_GB2312" w:cs="仿宋_GB2312"/>
          <w:sz w:val="32"/>
          <w:szCs w:val="32"/>
        </w:rPr>
        <w:t>万元，比2014年决算数</w:t>
      </w:r>
      <w:r>
        <w:rPr>
          <w:rFonts w:hint="eastAsia" w:ascii="仿宋_GB2312" w:hAnsi="仿宋_GB2312" w:eastAsia="仿宋_GB2312" w:cs="仿宋_GB2312"/>
          <w:sz w:val="32"/>
          <w:szCs w:val="32"/>
          <w:lang w:val="en-US" w:eastAsia="zh-CN"/>
        </w:rPr>
        <w:t>1836.13万元</w:t>
      </w:r>
      <w:r>
        <w:rPr>
          <w:rFonts w:hint="eastAsia" w:ascii="仿宋_GB2312" w:hAnsi="仿宋_GB2312" w:eastAsia="仿宋_GB2312" w:cs="仿宋_GB2312"/>
          <w:sz w:val="32"/>
          <w:szCs w:val="32"/>
        </w:rPr>
        <w:t>增加</w:t>
      </w:r>
      <w:r>
        <w:rPr>
          <w:rFonts w:hint="eastAsia" w:ascii="仿宋_GB2312" w:hAnsi="仿宋_GB2312" w:eastAsia="仿宋_GB2312" w:cs="仿宋_GB2312"/>
          <w:sz w:val="32"/>
          <w:szCs w:val="32"/>
          <w:lang w:val="en-US" w:eastAsia="zh-CN"/>
        </w:rPr>
        <w:t>196.74</w:t>
      </w:r>
      <w:r>
        <w:rPr>
          <w:rFonts w:hint="eastAsia" w:ascii="仿宋_GB2312" w:hAnsi="仿宋_GB2312" w:eastAsia="仿宋_GB2312" w:cs="仿宋_GB2312"/>
          <w:sz w:val="32"/>
          <w:szCs w:val="32"/>
        </w:rPr>
        <w:t>万元，原因是</w:t>
      </w:r>
      <w:r>
        <w:rPr>
          <w:rFonts w:hint="eastAsia" w:ascii="仿宋_GB2312" w:hAnsi="仿宋_GB2312" w:eastAsia="仿宋_GB2312" w:cs="仿宋_GB2312"/>
          <w:sz w:val="32"/>
          <w:szCs w:val="32"/>
          <w:lang w:eastAsia="zh-CN"/>
        </w:rPr>
        <w:t>区委区政府莲塘片区信访维稳工作、区委区政府双拥工作、全区性会议工作、汕头市农村普惠金融试点工作及省</w:t>
      </w:r>
      <w:r>
        <w:rPr>
          <w:rFonts w:hint="eastAsia" w:ascii="仿宋_GB2312" w:hAnsi="仿宋_GB2312" w:eastAsia="仿宋_GB2312" w:cs="仿宋_GB2312"/>
          <w:sz w:val="32"/>
          <w:szCs w:val="32"/>
          <w:lang w:val="en-US" w:eastAsia="zh-CN"/>
        </w:rPr>
        <w:t>2015年县级基本财力保障机制奖补资金拨款收入</w:t>
      </w:r>
      <w:r>
        <w:rPr>
          <w:rFonts w:hint="eastAsia" w:ascii="仿宋_GB2312" w:hAnsi="仿宋_GB2312" w:eastAsia="仿宋_GB2312" w:cs="仿宋_GB2312"/>
          <w:sz w:val="32"/>
          <w:szCs w:val="32"/>
        </w:rPr>
        <w:t>。其中：财政拨款收入</w:t>
      </w:r>
      <w:r>
        <w:rPr>
          <w:rFonts w:hint="eastAsia" w:ascii="仿宋_GB2312" w:hAnsi="仿宋_GB2312" w:eastAsia="仿宋_GB2312" w:cs="仿宋_GB2312"/>
          <w:sz w:val="32"/>
          <w:szCs w:val="32"/>
          <w:lang w:val="en-US" w:eastAsia="zh-CN"/>
        </w:rPr>
        <w:t>2032.77</w:t>
      </w:r>
      <w:r>
        <w:rPr>
          <w:rFonts w:hint="eastAsia" w:ascii="仿宋_GB2312" w:hAnsi="仿宋_GB2312" w:eastAsia="仿宋_GB2312" w:cs="仿宋_GB2312"/>
          <w:sz w:val="32"/>
          <w:szCs w:val="32"/>
        </w:rPr>
        <w:t>万元，比201</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年预算数</w:t>
      </w:r>
      <w:r>
        <w:rPr>
          <w:rFonts w:hint="eastAsia" w:ascii="仿宋_GB2312" w:hAnsi="仿宋_GB2312" w:eastAsia="仿宋_GB2312" w:cs="仿宋_GB2312"/>
          <w:sz w:val="32"/>
          <w:szCs w:val="32"/>
          <w:lang w:val="en-US" w:eastAsia="zh-CN"/>
        </w:rPr>
        <w:t>1746.81万元</w:t>
      </w:r>
      <w:r>
        <w:rPr>
          <w:rFonts w:hint="eastAsia" w:ascii="仿宋_GB2312" w:hAnsi="仿宋_GB2312" w:eastAsia="仿宋_GB2312" w:cs="仿宋_GB2312"/>
          <w:sz w:val="32"/>
          <w:szCs w:val="32"/>
        </w:rPr>
        <w:t>增加</w:t>
      </w:r>
      <w:r>
        <w:rPr>
          <w:rFonts w:hint="eastAsia" w:ascii="仿宋_GB2312" w:hAnsi="仿宋_GB2312" w:eastAsia="仿宋_GB2312" w:cs="仿宋_GB2312"/>
          <w:sz w:val="32"/>
          <w:szCs w:val="32"/>
          <w:lang w:val="en-US" w:eastAsia="zh-CN"/>
        </w:rPr>
        <w:t>285.96</w:t>
      </w:r>
      <w:r>
        <w:rPr>
          <w:rFonts w:hint="eastAsia" w:ascii="仿宋_GB2312" w:hAnsi="仿宋_GB2312" w:eastAsia="仿宋_GB2312" w:cs="仿宋_GB2312"/>
          <w:sz w:val="32"/>
          <w:szCs w:val="32"/>
        </w:rPr>
        <w:t>万元，原因是</w:t>
      </w:r>
      <w:r>
        <w:rPr>
          <w:rFonts w:hint="eastAsia" w:ascii="仿宋_GB2312" w:hAnsi="仿宋_GB2312" w:eastAsia="仿宋_GB2312" w:cs="仿宋_GB2312"/>
          <w:sz w:val="32"/>
          <w:szCs w:val="32"/>
          <w:lang w:eastAsia="zh-CN"/>
        </w:rPr>
        <w:t>区委区政府莲塘片区信访维稳工作、区委区政府双拥工作、全区性会议工作、汕头市农村普惠金融试点工作及省</w:t>
      </w:r>
      <w:r>
        <w:rPr>
          <w:rFonts w:hint="eastAsia" w:ascii="仿宋_GB2312" w:hAnsi="仿宋_GB2312" w:eastAsia="仿宋_GB2312" w:cs="仿宋_GB2312"/>
          <w:sz w:val="32"/>
          <w:szCs w:val="32"/>
          <w:lang w:val="en-US" w:eastAsia="zh-CN"/>
        </w:rPr>
        <w:t>2015年县级基本财力保障机制奖补资金拨款收入</w:t>
      </w:r>
      <w:r>
        <w:rPr>
          <w:rFonts w:hint="eastAsia" w:ascii="仿宋_GB2312" w:hAnsi="仿宋_GB2312" w:eastAsia="仿宋_GB2312" w:cs="仿宋_GB2312"/>
          <w:sz w:val="32"/>
          <w:szCs w:val="32"/>
        </w:rPr>
        <w:t>。其他收入</w:t>
      </w:r>
      <w:r>
        <w:rPr>
          <w:rFonts w:hint="eastAsia" w:ascii="仿宋_GB2312" w:hAnsi="仿宋_GB2312" w:eastAsia="仿宋_GB2312" w:cs="仿宋_GB2312"/>
          <w:sz w:val="32"/>
          <w:szCs w:val="32"/>
          <w:lang w:val="en-US" w:eastAsia="zh-CN"/>
        </w:rPr>
        <w:t>0.1</w:t>
      </w:r>
      <w:r>
        <w:rPr>
          <w:rFonts w:hint="eastAsia" w:ascii="仿宋_GB2312" w:hAnsi="仿宋_GB2312" w:eastAsia="仿宋_GB2312" w:cs="仿宋_GB2312"/>
          <w:sz w:val="32"/>
          <w:szCs w:val="32"/>
        </w:rPr>
        <w:t>万元。</w:t>
      </w:r>
    </w:p>
    <w:p>
      <w:pPr>
        <w:spacing w:line="288" w:lineRule="auto"/>
        <w:ind w:right="-50" w:rightChars="-24" w:firstLine="643" w:firstLineChars="200"/>
        <w:rPr>
          <w:rFonts w:hint="eastAsia" w:ascii="楷体" w:hAnsi="楷体" w:eastAsia="楷体" w:cs="楷体"/>
          <w:b/>
          <w:sz w:val="32"/>
          <w:szCs w:val="32"/>
        </w:rPr>
      </w:pPr>
      <w:r>
        <w:rPr>
          <w:rFonts w:hint="eastAsia" w:ascii="楷体" w:hAnsi="楷体" w:eastAsia="楷体" w:cs="楷体"/>
          <w:b/>
          <w:sz w:val="32"/>
          <w:szCs w:val="32"/>
        </w:rPr>
        <w:t>（二）支出情况说明</w:t>
      </w:r>
    </w:p>
    <w:p>
      <w:pPr>
        <w:spacing w:line="580" w:lineRule="exact"/>
        <w:ind w:left="-185" w:leftChars="-88" w:right="-315" w:rightChars="-150"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2015年支出决算</w:t>
      </w:r>
      <w:r>
        <w:rPr>
          <w:rFonts w:hint="eastAsia" w:ascii="仿宋_GB2312" w:hAnsi="仿宋_GB2312" w:eastAsia="仿宋_GB2312" w:cs="仿宋_GB2312"/>
          <w:sz w:val="32"/>
          <w:szCs w:val="32"/>
          <w:lang w:val="en-US" w:eastAsia="zh-CN"/>
        </w:rPr>
        <w:t>2060.05</w:t>
      </w:r>
      <w:r>
        <w:rPr>
          <w:rFonts w:hint="eastAsia" w:ascii="仿宋_GB2312" w:hAnsi="仿宋_GB2312" w:eastAsia="仿宋_GB2312" w:cs="仿宋_GB2312"/>
          <w:sz w:val="32"/>
          <w:szCs w:val="32"/>
        </w:rPr>
        <w:t>万元，比2014年决算数</w:t>
      </w:r>
      <w:r>
        <w:rPr>
          <w:rFonts w:hint="eastAsia" w:ascii="仿宋_GB2312" w:hAnsi="仿宋_GB2312" w:eastAsia="仿宋_GB2312" w:cs="仿宋_GB2312"/>
          <w:sz w:val="32"/>
          <w:szCs w:val="32"/>
          <w:lang w:val="en-US" w:eastAsia="zh-CN"/>
        </w:rPr>
        <w:t>1911.87万元</w:t>
      </w:r>
      <w:r>
        <w:rPr>
          <w:rFonts w:hint="eastAsia" w:ascii="仿宋_GB2312" w:hAnsi="仿宋_GB2312" w:eastAsia="仿宋_GB2312" w:cs="仿宋_GB2312"/>
          <w:sz w:val="32"/>
          <w:szCs w:val="32"/>
        </w:rPr>
        <w:t>增加</w:t>
      </w:r>
      <w:r>
        <w:rPr>
          <w:rFonts w:hint="eastAsia" w:ascii="仿宋_GB2312" w:hAnsi="仿宋_GB2312" w:eastAsia="仿宋_GB2312" w:cs="仿宋_GB2312"/>
          <w:sz w:val="32"/>
          <w:szCs w:val="32"/>
          <w:lang w:val="en-US" w:eastAsia="zh-CN"/>
        </w:rPr>
        <w:t>148.18</w:t>
      </w:r>
      <w:r>
        <w:rPr>
          <w:rFonts w:hint="eastAsia" w:ascii="仿宋_GB2312" w:hAnsi="仿宋_GB2312" w:eastAsia="仿宋_GB2312" w:cs="仿宋_GB2312"/>
          <w:sz w:val="32"/>
          <w:szCs w:val="32"/>
        </w:rPr>
        <w:t>万元，原因是</w:t>
      </w:r>
      <w:r>
        <w:rPr>
          <w:rFonts w:hint="eastAsia" w:ascii="仿宋_GB2312" w:hAnsi="仿宋_GB2312" w:eastAsia="仿宋_GB2312" w:cs="仿宋_GB2312"/>
          <w:sz w:val="32"/>
          <w:szCs w:val="32"/>
          <w:lang w:eastAsia="zh-CN"/>
        </w:rPr>
        <w:t>区委区政府莲塘片区信访维稳工作、区委区政府双拥工作、全区性会议工作、全区农村普惠金融试点工作等支出</w:t>
      </w:r>
      <w:r>
        <w:rPr>
          <w:rFonts w:hint="eastAsia" w:ascii="仿宋_GB2312" w:hAnsi="仿宋_GB2312" w:eastAsia="仿宋_GB2312" w:cs="仿宋_GB2312"/>
          <w:sz w:val="32"/>
          <w:szCs w:val="32"/>
        </w:rPr>
        <w:t>。其中：财政拨款支出</w:t>
      </w:r>
      <w:r>
        <w:rPr>
          <w:rFonts w:hint="eastAsia" w:ascii="仿宋_GB2312" w:hAnsi="仿宋_GB2312" w:eastAsia="仿宋_GB2312" w:cs="仿宋_GB2312"/>
          <w:sz w:val="32"/>
          <w:szCs w:val="32"/>
          <w:lang w:val="en-US" w:eastAsia="zh-CN"/>
        </w:rPr>
        <w:t>2060.05</w:t>
      </w:r>
      <w:r>
        <w:rPr>
          <w:rFonts w:hint="eastAsia" w:ascii="仿宋_GB2312" w:hAnsi="仿宋_GB2312" w:eastAsia="仿宋_GB2312" w:cs="仿宋_GB2312"/>
          <w:sz w:val="32"/>
          <w:szCs w:val="32"/>
        </w:rPr>
        <w:t>万元，比2015年预算数</w:t>
      </w:r>
      <w:r>
        <w:rPr>
          <w:rFonts w:hint="eastAsia" w:ascii="仿宋_GB2312" w:hAnsi="仿宋_GB2312" w:eastAsia="仿宋_GB2312" w:cs="仿宋_GB2312"/>
          <w:sz w:val="32"/>
          <w:szCs w:val="32"/>
          <w:lang w:val="en-US" w:eastAsia="zh-CN"/>
        </w:rPr>
        <w:t>1746.81万元</w:t>
      </w:r>
      <w:r>
        <w:rPr>
          <w:rFonts w:hint="eastAsia" w:ascii="仿宋_GB2312" w:hAnsi="仿宋_GB2312" w:eastAsia="仿宋_GB2312" w:cs="仿宋_GB2312"/>
          <w:sz w:val="32"/>
          <w:szCs w:val="32"/>
        </w:rPr>
        <w:t>增加</w:t>
      </w:r>
      <w:r>
        <w:rPr>
          <w:rFonts w:hint="eastAsia" w:ascii="仿宋_GB2312" w:hAnsi="仿宋_GB2312" w:eastAsia="仿宋_GB2312" w:cs="仿宋_GB2312"/>
          <w:sz w:val="32"/>
          <w:szCs w:val="32"/>
          <w:lang w:val="en-US" w:eastAsia="zh-CN"/>
        </w:rPr>
        <w:t>313.24</w:t>
      </w:r>
      <w:r>
        <w:rPr>
          <w:rFonts w:hint="eastAsia" w:ascii="仿宋_GB2312" w:hAnsi="仿宋_GB2312" w:eastAsia="仿宋_GB2312" w:cs="仿宋_GB2312"/>
          <w:sz w:val="32"/>
          <w:szCs w:val="32"/>
        </w:rPr>
        <w:t>万元，原因是</w:t>
      </w:r>
      <w:r>
        <w:rPr>
          <w:rFonts w:hint="eastAsia" w:ascii="仿宋_GB2312" w:hAnsi="仿宋_GB2312" w:eastAsia="仿宋_GB2312" w:cs="仿宋_GB2312"/>
          <w:sz w:val="32"/>
          <w:szCs w:val="32"/>
          <w:lang w:eastAsia="zh-CN"/>
        </w:rPr>
        <w:t>区委区政府莲塘片区信访维稳工作、区委区政府双拥工作、全区性会议工作、全区农村普惠金融试点工作等支出</w:t>
      </w:r>
      <w:r>
        <w:rPr>
          <w:rFonts w:hint="eastAsia" w:ascii="仿宋_GB2312" w:hAnsi="仿宋_GB2312" w:eastAsia="仿宋_GB2312" w:cs="仿宋_GB2312"/>
          <w:sz w:val="32"/>
          <w:szCs w:val="32"/>
        </w:rPr>
        <w:t>。</w:t>
      </w:r>
    </w:p>
    <w:p>
      <w:pPr>
        <w:spacing w:line="288" w:lineRule="auto"/>
        <w:ind w:right="-50" w:rightChars="-24"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2015年财政拨款支出按用途划分，基本支出</w:t>
      </w:r>
      <w:r>
        <w:rPr>
          <w:rFonts w:hint="eastAsia" w:ascii="仿宋_GB2312" w:hAnsi="仿宋_GB2312" w:eastAsia="仿宋_GB2312" w:cs="仿宋_GB2312"/>
          <w:sz w:val="32"/>
          <w:szCs w:val="32"/>
          <w:lang w:val="en-US" w:eastAsia="zh-CN"/>
        </w:rPr>
        <w:t>1687.53</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81.92</w:t>
      </w:r>
      <w:r>
        <w:rPr>
          <w:rFonts w:hint="eastAsia" w:ascii="仿宋_GB2312" w:hAnsi="仿宋_GB2312" w:eastAsia="仿宋_GB2312" w:cs="仿宋_GB2312"/>
          <w:sz w:val="32"/>
          <w:szCs w:val="32"/>
        </w:rPr>
        <w:t>%，其中：工资福利支出</w:t>
      </w:r>
      <w:r>
        <w:rPr>
          <w:rFonts w:hint="eastAsia" w:ascii="仿宋_GB2312" w:hAnsi="仿宋_GB2312" w:eastAsia="仿宋_GB2312" w:cs="仿宋_GB2312"/>
          <w:sz w:val="32"/>
          <w:szCs w:val="32"/>
          <w:lang w:val="en-US" w:eastAsia="zh-CN"/>
        </w:rPr>
        <w:t>775.65</w:t>
      </w:r>
      <w:r>
        <w:rPr>
          <w:rFonts w:hint="eastAsia" w:ascii="仿宋_GB2312" w:hAnsi="仿宋_GB2312" w:eastAsia="仿宋_GB2312" w:cs="仿宋_GB2312"/>
          <w:sz w:val="32"/>
          <w:szCs w:val="32"/>
        </w:rPr>
        <w:t>万元，对个人和家庭的补助</w:t>
      </w:r>
      <w:r>
        <w:rPr>
          <w:rFonts w:hint="eastAsia" w:ascii="仿宋_GB2312" w:hAnsi="仿宋_GB2312" w:eastAsia="仿宋_GB2312" w:cs="仿宋_GB2312"/>
          <w:sz w:val="32"/>
          <w:szCs w:val="32"/>
          <w:lang w:val="en-US" w:eastAsia="zh-CN"/>
        </w:rPr>
        <w:t>934.21</w:t>
      </w:r>
      <w:r>
        <w:rPr>
          <w:rFonts w:hint="eastAsia" w:ascii="仿宋_GB2312" w:hAnsi="仿宋_GB2312" w:eastAsia="仿宋_GB2312" w:cs="仿宋_GB2312"/>
          <w:sz w:val="32"/>
          <w:szCs w:val="32"/>
        </w:rPr>
        <w:t>万元，商品和服务支出</w:t>
      </w:r>
      <w:r>
        <w:rPr>
          <w:rFonts w:hint="eastAsia" w:ascii="仿宋_GB2312" w:hAnsi="仿宋_GB2312" w:eastAsia="仿宋_GB2312" w:cs="仿宋_GB2312"/>
          <w:sz w:val="32"/>
          <w:szCs w:val="32"/>
          <w:lang w:val="en-US" w:eastAsia="zh-CN"/>
        </w:rPr>
        <w:t>261.51</w:t>
      </w:r>
      <w:r>
        <w:rPr>
          <w:rFonts w:hint="eastAsia" w:ascii="仿宋_GB2312" w:hAnsi="仿宋_GB2312" w:eastAsia="仿宋_GB2312" w:cs="仿宋_GB2312"/>
          <w:sz w:val="32"/>
          <w:szCs w:val="32"/>
        </w:rPr>
        <w:t>万元，其他资本性支出等支出</w:t>
      </w:r>
      <w:r>
        <w:rPr>
          <w:rFonts w:hint="eastAsia" w:ascii="仿宋_GB2312" w:hAnsi="仿宋_GB2312" w:eastAsia="仿宋_GB2312" w:cs="仿宋_GB2312"/>
          <w:sz w:val="32"/>
          <w:szCs w:val="32"/>
          <w:lang w:val="en-US" w:eastAsia="zh-CN"/>
        </w:rPr>
        <w:t>88.68</w:t>
      </w:r>
      <w:r>
        <w:rPr>
          <w:rFonts w:hint="eastAsia" w:ascii="仿宋_GB2312" w:hAnsi="仿宋_GB2312" w:eastAsia="仿宋_GB2312" w:cs="仿宋_GB2312"/>
          <w:sz w:val="32"/>
          <w:szCs w:val="32"/>
        </w:rPr>
        <w:t>万元；项目支出决算</w:t>
      </w:r>
      <w:r>
        <w:rPr>
          <w:rFonts w:hint="eastAsia" w:ascii="仿宋_GB2312" w:hAnsi="仿宋_GB2312" w:eastAsia="仿宋_GB2312" w:cs="仿宋_GB2312"/>
          <w:sz w:val="32"/>
          <w:szCs w:val="32"/>
          <w:lang w:val="en-US" w:eastAsia="zh-CN"/>
        </w:rPr>
        <w:t>372.51</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18</w:t>
      </w:r>
      <w:r>
        <w:rPr>
          <w:rFonts w:hint="eastAsia" w:ascii="仿宋_GB2312" w:hAnsi="仿宋_GB2312" w:eastAsia="仿宋_GB2312" w:cs="仿宋_GB2312"/>
          <w:sz w:val="32"/>
          <w:szCs w:val="32"/>
        </w:rPr>
        <w:t>%，主要支出项目有</w:t>
      </w:r>
      <w:r>
        <w:rPr>
          <w:rFonts w:hint="eastAsia" w:ascii="仿宋_GB2312" w:hAnsi="仿宋_GB2312" w:eastAsia="仿宋_GB2312" w:cs="仿宋_GB2312"/>
          <w:sz w:val="32"/>
          <w:szCs w:val="32"/>
          <w:lang w:eastAsia="zh-CN"/>
        </w:rPr>
        <w:t>区委区政府莲塘片区信访维稳工作、区委区政府双拥工作、全区性会议工作、全区农村普惠金融试点工作，区应急办、区委调研室、信访局（含区12345热线平台）、保密局、党史地志办、档案馆业务、督查工作、法制局、金平区公共资源交易中心、金融工作局（含处置非法集资社会管理综合治理经费及农村金融改革专项资金）、开发电子公文处理和信息化建设系统软件第二期、开展党内规范性文件清理专项工作经费、外事侨务局、政务信息中心等项目支出。</w:t>
      </w:r>
    </w:p>
    <w:p>
      <w:pPr>
        <w:spacing w:line="288" w:lineRule="auto"/>
        <w:ind w:right="-50" w:rightChars="-24" w:firstLine="640" w:firstLineChars="200"/>
        <w:rPr>
          <w:rFonts w:hint="eastAsia" w:ascii="楷体" w:hAnsi="楷体" w:eastAsia="楷体" w:cs="楷体"/>
          <w:b/>
          <w:sz w:val="32"/>
          <w:szCs w:val="32"/>
        </w:rPr>
      </w:pPr>
      <w:r>
        <w:rPr>
          <w:rFonts w:hint="eastAsia" w:ascii="楷体" w:hAnsi="楷体" w:eastAsia="楷体" w:cs="楷体"/>
          <w:b/>
          <w:sz w:val="32"/>
          <w:szCs w:val="32"/>
        </w:rPr>
        <w:t>（三）“三公”经费支出说明</w:t>
      </w:r>
    </w:p>
    <w:p>
      <w:pPr>
        <w:spacing w:line="288" w:lineRule="auto"/>
        <w:ind w:right="-50" w:rightChars="-24"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2015年“三公”经费财政拨款支出</w:t>
      </w:r>
      <w:r>
        <w:rPr>
          <w:rFonts w:hint="eastAsia" w:ascii="仿宋_GB2312" w:hAnsi="仿宋_GB2312" w:eastAsia="仿宋_GB2312" w:cs="仿宋_GB2312"/>
          <w:sz w:val="32"/>
          <w:szCs w:val="32"/>
          <w:lang w:val="en-US" w:eastAsia="zh-CN"/>
        </w:rPr>
        <w:t>28</w:t>
      </w:r>
      <w:r>
        <w:rPr>
          <w:rFonts w:hint="eastAsia" w:ascii="仿宋_GB2312" w:hAnsi="仿宋_GB2312" w:eastAsia="仿宋_GB2312" w:cs="仿宋_GB2312"/>
          <w:sz w:val="32"/>
          <w:szCs w:val="32"/>
        </w:rPr>
        <w:t>万元，比2014年</w:t>
      </w:r>
      <w:r>
        <w:rPr>
          <w:rFonts w:hint="eastAsia" w:ascii="仿宋_GB2312" w:hAnsi="仿宋_GB2312" w:eastAsia="仿宋_GB2312" w:cs="仿宋_GB2312"/>
          <w:sz w:val="32"/>
          <w:szCs w:val="32"/>
          <w:lang w:eastAsia="zh-CN"/>
        </w:rPr>
        <w:t>“三公”经费支出</w:t>
      </w:r>
      <w:r>
        <w:rPr>
          <w:rFonts w:hint="eastAsia" w:ascii="仿宋_GB2312" w:hAnsi="仿宋_GB2312" w:eastAsia="仿宋_GB2312" w:cs="仿宋_GB2312"/>
          <w:sz w:val="32"/>
          <w:szCs w:val="32"/>
          <w:lang w:val="en-US" w:eastAsia="zh-CN"/>
        </w:rPr>
        <w:t>28.81万元（其中</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25.05万元、过渡户支出数3.76万元）</w:t>
      </w:r>
      <w:r>
        <w:rPr>
          <w:rFonts w:hint="eastAsia" w:ascii="仿宋_GB2312" w:hAnsi="仿宋_GB2312" w:eastAsia="仿宋_GB2312" w:cs="仿宋_GB2312"/>
          <w:sz w:val="32"/>
          <w:szCs w:val="32"/>
          <w:lang w:eastAsia="zh-CN"/>
        </w:rPr>
        <w:t>减少</w:t>
      </w:r>
      <w:r>
        <w:rPr>
          <w:rFonts w:hint="eastAsia" w:ascii="仿宋_GB2312" w:hAnsi="仿宋_GB2312" w:eastAsia="仿宋_GB2312" w:cs="仿宋_GB2312"/>
          <w:sz w:val="32"/>
          <w:szCs w:val="32"/>
          <w:lang w:val="en-US" w:eastAsia="zh-CN"/>
        </w:rPr>
        <w:t>0.81</w:t>
      </w:r>
      <w:r>
        <w:rPr>
          <w:rFonts w:hint="eastAsia" w:ascii="仿宋_GB2312" w:hAnsi="仿宋_GB2312" w:eastAsia="仿宋_GB2312" w:cs="仿宋_GB2312"/>
          <w:sz w:val="32"/>
          <w:szCs w:val="32"/>
        </w:rPr>
        <w:t>万元，比2015年预算数</w:t>
      </w:r>
      <w:r>
        <w:rPr>
          <w:rFonts w:hint="eastAsia" w:ascii="仿宋_GB2312" w:hAnsi="仿宋_GB2312" w:eastAsia="仿宋_GB2312" w:cs="仿宋_GB2312"/>
          <w:sz w:val="32"/>
          <w:szCs w:val="32"/>
          <w:lang w:val="en-US" w:eastAsia="zh-CN"/>
        </w:rPr>
        <w:t>32万元</w:t>
      </w:r>
      <w:r>
        <w:rPr>
          <w:rFonts w:hint="eastAsia" w:ascii="仿宋_GB2312" w:hAnsi="仿宋_GB2312" w:eastAsia="仿宋_GB2312" w:cs="仿宋_GB2312"/>
          <w:sz w:val="32"/>
          <w:szCs w:val="32"/>
        </w:rPr>
        <w:t>减少</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万元，原因是减少的原因主要是：2015年我办没有</w:t>
      </w:r>
      <w:r>
        <w:rPr>
          <w:rFonts w:hint="eastAsia" w:ascii="仿宋_GB2312" w:hAnsi="仿宋_GB2312" w:eastAsia="仿宋_GB2312" w:cs="仿宋_GB2312"/>
          <w:sz w:val="32"/>
          <w:szCs w:val="32"/>
          <w:lang w:eastAsia="zh-CN"/>
        </w:rPr>
        <w:t>因公出国（境）和公务</w:t>
      </w:r>
      <w:r>
        <w:rPr>
          <w:rFonts w:hint="eastAsia" w:ascii="仿宋_GB2312" w:hAnsi="仿宋_GB2312" w:eastAsia="仿宋_GB2312" w:cs="仿宋_GB2312"/>
          <w:sz w:val="32"/>
          <w:szCs w:val="32"/>
        </w:rPr>
        <w:t>接待任务，</w:t>
      </w:r>
      <w:r>
        <w:rPr>
          <w:rFonts w:hint="eastAsia" w:ascii="仿宋_GB2312" w:hAnsi="仿宋_GB2312" w:eastAsia="仿宋_GB2312" w:cs="仿宋_GB2312"/>
          <w:sz w:val="32"/>
          <w:szCs w:val="32"/>
          <w:lang w:eastAsia="zh-CN"/>
        </w:rPr>
        <w:t>因公出国（境）、公务</w:t>
      </w:r>
      <w:r>
        <w:rPr>
          <w:rFonts w:hint="eastAsia" w:ascii="仿宋_GB2312" w:hAnsi="仿宋_GB2312" w:eastAsia="仿宋_GB2312" w:cs="仿宋_GB2312"/>
          <w:sz w:val="32"/>
          <w:szCs w:val="32"/>
        </w:rPr>
        <w:t>接待费</w:t>
      </w:r>
      <w:r>
        <w:rPr>
          <w:rFonts w:hint="eastAsia" w:ascii="仿宋_GB2312" w:hAnsi="仿宋_GB2312" w:eastAsia="仿宋_GB2312" w:cs="仿宋_GB2312"/>
          <w:sz w:val="32"/>
          <w:szCs w:val="32"/>
          <w:lang w:eastAsia="zh-CN"/>
        </w:rPr>
        <w:t>均</w:t>
      </w:r>
      <w:r>
        <w:rPr>
          <w:rFonts w:hint="eastAsia" w:ascii="仿宋_GB2312" w:hAnsi="仿宋_GB2312" w:eastAsia="仿宋_GB2312" w:cs="仿宋_GB2312"/>
          <w:sz w:val="32"/>
          <w:szCs w:val="32"/>
        </w:rPr>
        <w:t>为0；在公车运行上，我办进一步加强车辆管理，厉行节约、千方百计控制车辆运行费用，因此，公车运行费也有所下降。具体情况如下：</w:t>
      </w:r>
    </w:p>
    <w:p>
      <w:pPr>
        <w:spacing w:line="580" w:lineRule="exact"/>
        <w:ind w:left="-185" w:leftChars="-88" w:right="-315" w:rightChars="-150"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1.全年使用财政拨款安排本级、所属单位出国团组数为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个、</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人次，因公出国（境）费支出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与</w:t>
      </w:r>
      <w:r>
        <w:rPr>
          <w:rFonts w:hint="eastAsia" w:ascii="仿宋_GB2312" w:hAnsi="仿宋_GB2312" w:eastAsia="仿宋_GB2312" w:cs="仿宋_GB2312"/>
          <w:sz w:val="32"/>
          <w:szCs w:val="32"/>
        </w:rPr>
        <w:t>2014年决算数</w:t>
      </w:r>
      <w:r>
        <w:rPr>
          <w:rFonts w:hint="eastAsia" w:ascii="仿宋_GB2312" w:hAnsi="仿宋_GB2312" w:eastAsia="仿宋_GB2312" w:cs="仿宋_GB2312"/>
          <w:sz w:val="32"/>
          <w:szCs w:val="32"/>
          <w:lang w:eastAsia="zh-CN"/>
        </w:rPr>
        <w:t>持平</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与</w:t>
      </w:r>
      <w:r>
        <w:rPr>
          <w:rFonts w:hint="eastAsia" w:ascii="仿宋_GB2312" w:hAnsi="仿宋_GB2312" w:eastAsia="仿宋_GB2312" w:cs="仿宋_GB2312"/>
          <w:sz w:val="32"/>
          <w:szCs w:val="32"/>
        </w:rPr>
        <w:t>2015年预算数</w:t>
      </w:r>
      <w:r>
        <w:rPr>
          <w:rFonts w:hint="eastAsia" w:ascii="仿宋_GB2312" w:hAnsi="仿宋_GB2312" w:eastAsia="仿宋_GB2312" w:cs="仿宋_GB2312"/>
          <w:sz w:val="32"/>
          <w:szCs w:val="32"/>
          <w:lang w:eastAsia="zh-CN"/>
        </w:rPr>
        <w:t>持平</w:t>
      </w:r>
      <w:r>
        <w:rPr>
          <w:rFonts w:hint="eastAsia" w:ascii="仿宋_GB2312" w:hAnsi="仿宋_GB2312" w:eastAsia="仿宋_GB2312" w:cs="仿宋_GB2312"/>
          <w:sz w:val="32"/>
          <w:szCs w:val="32"/>
        </w:rPr>
        <w:t>，原因是</w:t>
      </w:r>
      <w:r>
        <w:rPr>
          <w:rFonts w:hint="eastAsia" w:ascii="仿宋_GB2312" w:hAnsi="仿宋_GB2312" w:eastAsia="仿宋_GB2312" w:cs="仿宋_GB2312"/>
          <w:sz w:val="32"/>
          <w:szCs w:val="32"/>
          <w:lang w:eastAsia="zh-CN"/>
        </w:rPr>
        <w:t>没有</w:t>
      </w:r>
      <w:r>
        <w:rPr>
          <w:rFonts w:hint="eastAsia" w:ascii="仿宋_GB2312" w:hAnsi="仿宋_GB2312" w:eastAsia="仿宋_GB2312" w:cs="仿宋_GB2312"/>
          <w:sz w:val="32"/>
          <w:szCs w:val="32"/>
        </w:rPr>
        <w:t>因公出国（境）</w:t>
      </w:r>
      <w:r>
        <w:rPr>
          <w:rFonts w:hint="eastAsia" w:ascii="仿宋_GB2312" w:hAnsi="仿宋_GB2312" w:eastAsia="仿宋_GB2312" w:cs="仿宋_GB2312"/>
          <w:sz w:val="32"/>
          <w:szCs w:val="32"/>
          <w:lang w:eastAsia="zh-CN"/>
        </w:rPr>
        <w:t>安排或工作任务</w:t>
      </w:r>
      <w:r>
        <w:rPr>
          <w:rFonts w:hint="eastAsia" w:ascii="仿宋_GB2312" w:hAnsi="仿宋_GB2312" w:eastAsia="仿宋_GB2312" w:cs="仿宋_GB2312"/>
          <w:sz w:val="32"/>
          <w:szCs w:val="32"/>
        </w:rPr>
        <w:t>。</w:t>
      </w:r>
    </w:p>
    <w:p>
      <w:pPr>
        <w:spacing w:line="580" w:lineRule="exact"/>
        <w:ind w:left="-185" w:leftChars="-88" w:right="-315" w:rightChars="-150"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2.公务用车购置及运行维护费支出</w:t>
      </w:r>
      <w:r>
        <w:rPr>
          <w:rFonts w:hint="eastAsia" w:ascii="仿宋_GB2312" w:hAnsi="仿宋_GB2312" w:eastAsia="仿宋_GB2312" w:cs="仿宋_GB2312"/>
          <w:sz w:val="32"/>
          <w:szCs w:val="32"/>
          <w:lang w:val="en-US" w:eastAsia="zh-CN"/>
        </w:rPr>
        <w:t>28</w:t>
      </w:r>
      <w:r>
        <w:rPr>
          <w:rFonts w:hint="eastAsia" w:ascii="仿宋_GB2312" w:hAnsi="仿宋_GB2312" w:eastAsia="仿宋_GB2312" w:cs="仿宋_GB2312"/>
          <w:sz w:val="32"/>
          <w:szCs w:val="32"/>
        </w:rPr>
        <w:t>万元，比2014年</w:t>
      </w:r>
      <w:r>
        <w:rPr>
          <w:rFonts w:hint="eastAsia" w:ascii="仿宋_GB2312" w:hAnsi="仿宋_GB2312" w:eastAsia="仿宋_GB2312" w:cs="仿宋_GB2312"/>
          <w:sz w:val="32"/>
          <w:szCs w:val="32"/>
          <w:lang w:eastAsia="zh-CN"/>
        </w:rPr>
        <w:t>支出数</w:t>
      </w:r>
      <w:r>
        <w:rPr>
          <w:rFonts w:hint="eastAsia" w:ascii="仿宋_GB2312" w:hAnsi="仿宋_GB2312" w:eastAsia="仿宋_GB2312" w:cs="仿宋_GB2312"/>
          <w:sz w:val="32"/>
          <w:szCs w:val="32"/>
          <w:lang w:val="en-US" w:eastAsia="zh-CN"/>
        </w:rPr>
        <w:t>28.57万元（其中</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24.81万元、过渡户支出数3.76万元）</w:t>
      </w:r>
      <w:r>
        <w:rPr>
          <w:rFonts w:hint="eastAsia" w:ascii="仿宋_GB2312" w:hAnsi="仿宋_GB2312" w:eastAsia="仿宋_GB2312" w:cs="仿宋_GB2312"/>
          <w:sz w:val="32"/>
          <w:szCs w:val="32"/>
        </w:rPr>
        <w:t>减少</w:t>
      </w:r>
      <w:r>
        <w:rPr>
          <w:rFonts w:hint="eastAsia" w:ascii="仿宋_GB2312" w:hAnsi="仿宋_GB2312" w:eastAsia="仿宋_GB2312" w:cs="仿宋_GB2312"/>
          <w:sz w:val="32"/>
          <w:szCs w:val="32"/>
          <w:lang w:val="en-US" w:eastAsia="zh-CN"/>
        </w:rPr>
        <w:t>0.57</w:t>
      </w:r>
      <w:r>
        <w:rPr>
          <w:rFonts w:hint="eastAsia" w:ascii="仿宋_GB2312" w:hAnsi="仿宋_GB2312" w:eastAsia="仿宋_GB2312" w:cs="仿宋_GB2312"/>
          <w:sz w:val="32"/>
          <w:szCs w:val="32"/>
        </w:rPr>
        <w:t>万元，比2015年预算数减少</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万元，原因是进一步加强车辆管理，厉行节约、千方百计控制车辆运行费用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公车运行费也有所下降。主要包括：公务车</w:t>
      </w:r>
      <w:r>
        <w:rPr>
          <w:rFonts w:hint="eastAsia" w:ascii="仿宋_GB2312" w:hAnsi="仿宋_GB2312" w:eastAsia="仿宋_GB2312" w:cs="仿宋_GB2312"/>
          <w:sz w:val="32"/>
          <w:szCs w:val="32"/>
          <w:lang w:eastAsia="zh-CN"/>
        </w:rPr>
        <w:t>实际</w:t>
      </w:r>
      <w:r>
        <w:rPr>
          <w:rFonts w:hint="eastAsia" w:ascii="仿宋_GB2312" w:hAnsi="仿宋_GB2312" w:eastAsia="仿宋_GB2312" w:cs="仿宋_GB2312"/>
          <w:sz w:val="32"/>
          <w:szCs w:val="32"/>
        </w:rPr>
        <w:t>保有量</w:t>
      </w:r>
      <w:r>
        <w:rPr>
          <w:rFonts w:hint="eastAsia" w:ascii="仿宋_GB2312" w:hAnsi="仿宋_GB2312" w:eastAsia="仿宋_GB2312" w:cs="仿宋_GB2312"/>
          <w:sz w:val="32"/>
          <w:szCs w:val="32"/>
          <w:lang w:val="en-US" w:eastAsia="zh-CN"/>
        </w:rPr>
        <w:t>13</w:t>
      </w:r>
      <w:r>
        <w:rPr>
          <w:rFonts w:hint="eastAsia" w:ascii="仿宋_GB2312" w:hAnsi="仿宋_GB2312" w:eastAsia="仿宋_GB2312" w:cs="仿宋_GB2312"/>
          <w:sz w:val="32"/>
          <w:szCs w:val="32"/>
        </w:rPr>
        <w:t>辆</w:t>
      </w:r>
      <w:r>
        <w:rPr>
          <w:rFonts w:hint="eastAsia" w:ascii="仿宋_GB2312" w:hAnsi="仿宋_GB2312" w:eastAsia="仿宋_GB2312" w:cs="仿宋_GB2312"/>
          <w:sz w:val="32"/>
          <w:szCs w:val="32"/>
          <w:lang w:eastAsia="zh-CN"/>
        </w:rPr>
        <w:t>（固定资产登记在我办的公务车共</w:t>
      </w:r>
      <w:r>
        <w:rPr>
          <w:rFonts w:hint="eastAsia" w:ascii="仿宋_GB2312" w:hAnsi="仿宋_GB2312" w:eastAsia="仿宋_GB2312" w:cs="仿宋_GB2312"/>
          <w:sz w:val="32"/>
          <w:szCs w:val="32"/>
          <w:lang w:val="en-US" w:eastAsia="zh-CN"/>
        </w:rPr>
        <w:t>48辆，除13辆由我办使用、管养外，其他35辆均是固定资产登记在我办所有，实物移交给区机关事务管理局等区直单位使用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，全年运行维护费支出</w:t>
      </w:r>
      <w:r>
        <w:rPr>
          <w:rFonts w:hint="eastAsia" w:ascii="仿宋_GB2312" w:hAnsi="仿宋_GB2312" w:eastAsia="仿宋_GB2312" w:cs="仿宋_GB2312"/>
          <w:sz w:val="32"/>
          <w:szCs w:val="32"/>
          <w:lang w:val="en-US" w:eastAsia="zh-CN"/>
        </w:rPr>
        <w:t>28</w:t>
      </w:r>
      <w:r>
        <w:rPr>
          <w:rFonts w:hint="eastAsia" w:ascii="仿宋_GB2312" w:hAnsi="仿宋_GB2312" w:eastAsia="仿宋_GB2312" w:cs="仿宋_GB2312"/>
          <w:sz w:val="32"/>
          <w:szCs w:val="32"/>
        </w:rPr>
        <w:t>万元，平均每辆</w:t>
      </w:r>
      <w:r>
        <w:rPr>
          <w:rFonts w:hint="eastAsia" w:ascii="仿宋_GB2312" w:hAnsi="仿宋_GB2312" w:eastAsia="仿宋_GB2312" w:cs="仿宋_GB2312"/>
          <w:sz w:val="32"/>
          <w:szCs w:val="32"/>
          <w:lang w:val="en-US" w:eastAsia="zh-CN"/>
        </w:rPr>
        <w:t>2.15</w:t>
      </w:r>
      <w:r>
        <w:rPr>
          <w:rFonts w:hint="eastAsia" w:ascii="仿宋_GB2312" w:hAnsi="仿宋_GB2312" w:eastAsia="仿宋_GB2312" w:cs="仿宋_GB2312"/>
          <w:sz w:val="32"/>
          <w:szCs w:val="32"/>
        </w:rPr>
        <w:t>万元。</w:t>
      </w:r>
    </w:p>
    <w:p>
      <w:pPr>
        <w:spacing w:line="580" w:lineRule="exact"/>
        <w:ind w:left="-185" w:leftChars="-88" w:right="-315" w:rightChars="-150"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3.公务接待批次</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批，人数</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人，公务接待费支出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万元，比2014年决算数减少</w:t>
      </w:r>
      <w:r>
        <w:rPr>
          <w:rFonts w:hint="eastAsia" w:ascii="仿宋_GB2312" w:hAnsi="仿宋_GB2312" w:eastAsia="仿宋_GB2312" w:cs="仿宋_GB2312"/>
          <w:sz w:val="32"/>
          <w:szCs w:val="32"/>
          <w:lang w:val="en-US" w:eastAsia="zh-CN"/>
        </w:rPr>
        <w:t>0.24</w:t>
      </w:r>
      <w:r>
        <w:rPr>
          <w:rFonts w:hint="eastAsia" w:ascii="仿宋_GB2312" w:hAnsi="仿宋_GB2312" w:eastAsia="仿宋_GB2312" w:cs="仿宋_GB2312"/>
          <w:sz w:val="32"/>
          <w:szCs w:val="32"/>
        </w:rPr>
        <w:t>万元，比2015年预算数减少</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万元，原因是</w:t>
      </w:r>
      <w:r>
        <w:rPr>
          <w:rFonts w:hint="eastAsia" w:ascii="仿宋_GB2312" w:hAnsi="仿宋_GB2312" w:eastAsia="仿宋_GB2312" w:cs="仿宋_GB2312"/>
          <w:sz w:val="32"/>
          <w:szCs w:val="32"/>
          <w:lang w:eastAsia="zh-CN"/>
        </w:rPr>
        <w:t>该年度没有公务接待任务。</w:t>
      </w:r>
    </w:p>
    <w:p>
      <w:pPr>
        <w:spacing w:line="580" w:lineRule="exact"/>
        <w:ind w:left="-185" w:leftChars="-88" w:right="-315" w:rightChars="-150" w:firstLine="643"/>
        <w:rPr>
          <w:rFonts w:hint="eastAsia" w:ascii="楷体" w:hAnsi="楷体" w:eastAsia="楷体" w:cs="楷体"/>
          <w:sz w:val="32"/>
          <w:szCs w:val="32"/>
        </w:rPr>
      </w:pPr>
      <w:r>
        <w:rPr>
          <w:rFonts w:hint="eastAsia" w:ascii="楷体" w:hAnsi="楷体" w:eastAsia="楷体" w:cs="楷体"/>
          <w:b/>
          <w:sz w:val="32"/>
          <w:szCs w:val="32"/>
        </w:rPr>
        <w:t>（四）机关运行经费支出说明</w:t>
      </w:r>
    </w:p>
    <w:p>
      <w:pPr>
        <w:spacing w:line="580" w:lineRule="exact"/>
        <w:ind w:left="-185" w:leftChars="-88" w:right="-315" w:rightChars="-150"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2015年本单位机关运行经费支出</w:t>
      </w:r>
      <w:r>
        <w:rPr>
          <w:rFonts w:hint="eastAsia" w:ascii="仿宋_GB2312" w:hAnsi="仿宋_GB2312" w:eastAsia="仿宋_GB2312" w:cs="仿宋_GB2312"/>
          <w:sz w:val="32"/>
          <w:szCs w:val="32"/>
          <w:lang w:val="en-US" w:eastAsia="zh-CN"/>
        </w:rPr>
        <w:t>826.95</w:t>
      </w:r>
      <w:r>
        <w:rPr>
          <w:rFonts w:hint="eastAsia" w:ascii="仿宋_GB2312" w:hAnsi="仿宋_GB2312" w:eastAsia="仿宋_GB2312" w:cs="仿宋_GB2312"/>
          <w:sz w:val="32"/>
          <w:szCs w:val="32"/>
        </w:rPr>
        <w:t>万元，比2014年</w:t>
      </w:r>
      <w:r>
        <w:rPr>
          <w:rFonts w:hint="eastAsia" w:ascii="仿宋_GB2312" w:hAnsi="仿宋_GB2312" w:eastAsia="仿宋_GB2312" w:cs="仿宋_GB2312"/>
          <w:sz w:val="32"/>
          <w:szCs w:val="32"/>
          <w:lang w:val="en-US" w:eastAsia="zh-CN"/>
        </w:rPr>
        <w:t>696.52万元</w:t>
      </w:r>
      <w:r>
        <w:rPr>
          <w:rFonts w:hint="eastAsia" w:ascii="仿宋_GB2312" w:hAnsi="仿宋_GB2312" w:eastAsia="仿宋_GB2312" w:cs="仿宋_GB2312"/>
          <w:sz w:val="32"/>
          <w:szCs w:val="32"/>
        </w:rPr>
        <w:t>增加</w:t>
      </w:r>
      <w:r>
        <w:rPr>
          <w:rFonts w:hint="eastAsia" w:ascii="仿宋_GB2312" w:hAnsi="仿宋_GB2312" w:eastAsia="仿宋_GB2312" w:cs="仿宋_GB2312"/>
          <w:sz w:val="32"/>
          <w:szCs w:val="32"/>
          <w:lang w:val="en-US" w:eastAsia="zh-CN"/>
        </w:rPr>
        <w:t>130.43</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18.73</w:t>
      </w:r>
      <w:r>
        <w:rPr>
          <w:rFonts w:hint="eastAsia" w:ascii="仿宋_GB2312" w:hAnsi="仿宋_GB2312" w:eastAsia="仿宋_GB2312" w:cs="仿宋_GB2312"/>
          <w:sz w:val="32"/>
          <w:szCs w:val="32"/>
        </w:rPr>
        <w:t>%。主要原因是</w:t>
      </w:r>
      <w:r>
        <w:rPr>
          <w:rFonts w:hint="eastAsia" w:ascii="仿宋_GB2312" w:hAnsi="仿宋_GB2312" w:eastAsia="仿宋_GB2312" w:cs="仿宋_GB2312"/>
          <w:sz w:val="32"/>
          <w:szCs w:val="32"/>
          <w:lang w:eastAsia="zh-CN"/>
        </w:rPr>
        <w:t>当年度人员提标增资、职级并行、提高津贴补贴支出</w:t>
      </w:r>
      <w:r>
        <w:rPr>
          <w:rFonts w:hint="eastAsia" w:ascii="仿宋_GB2312" w:hAnsi="仿宋_GB2312" w:eastAsia="仿宋_GB2312" w:cs="仿宋_GB2312"/>
          <w:sz w:val="32"/>
          <w:szCs w:val="32"/>
        </w:rPr>
        <w:t>。</w:t>
      </w:r>
    </w:p>
    <w:p>
      <w:pPr>
        <w:spacing w:line="580" w:lineRule="exact"/>
        <w:ind w:left="-185" w:leftChars="-88" w:right="-315" w:rightChars="-150" w:firstLine="643"/>
        <w:rPr>
          <w:rFonts w:hint="eastAsia" w:ascii="楷体" w:hAnsi="楷体" w:eastAsia="楷体" w:cs="楷体"/>
          <w:sz w:val="32"/>
          <w:szCs w:val="32"/>
        </w:rPr>
      </w:pPr>
      <w:r>
        <w:rPr>
          <w:rFonts w:hint="eastAsia" w:ascii="楷体" w:hAnsi="楷体" w:eastAsia="楷体" w:cs="楷体"/>
          <w:b/>
          <w:sz w:val="32"/>
          <w:szCs w:val="32"/>
        </w:rPr>
        <w:t>（五）政府采购支出说明</w:t>
      </w:r>
    </w:p>
    <w:p>
      <w:pPr>
        <w:spacing w:line="580" w:lineRule="exact"/>
        <w:ind w:left="-185" w:leftChars="-88" w:right="-315" w:rightChars="-150"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2015年本单位政府采购支出总额</w:t>
      </w:r>
      <w:r>
        <w:rPr>
          <w:rFonts w:hint="eastAsia" w:ascii="仿宋_GB2312" w:hAnsi="仿宋_GB2312" w:eastAsia="仿宋_GB2312" w:cs="仿宋_GB2312"/>
          <w:sz w:val="32"/>
          <w:szCs w:val="32"/>
          <w:lang w:val="en-US" w:eastAsia="zh-CN"/>
        </w:rPr>
        <w:t>39.65</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政府采购货物支出</w:t>
      </w:r>
      <w:r>
        <w:rPr>
          <w:rFonts w:hint="eastAsia" w:ascii="仿宋_GB2312" w:hAnsi="仿宋_GB2312" w:eastAsia="仿宋_GB2312" w:cs="仿宋_GB2312"/>
          <w:sz w:val="32"/>
          <w:szCs w:val="32"/>
          <w:lang w:val="en-US" w:eastAsia="zh-CN"/>
        </w:rPr>
        <w:t>39.65</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）。授予中小企业合同金额0万元。</w:t>
      </w:r>
    </w:p>
    <w:p>
      <w:pPr>
        <w:spacing w:line="580" w:lineRule="exact"/>
        <w:ind w:left="-185" w:leftChars="-88" w:right="-315" w:rightChars="-150" w:firstLine="643"/>
        <w:rPr>
          <w:rFonts w:hint="eastAsia" w:ascii="楷体" w:hAnsi="楷体" w:eastAsia="楷体" w:cs="楷体"/>
          <w:sz w:val="32"/>
          <w:szCs w:val="32"/>
        </w:rPr>
      </w:pPr>
      <w:r>
        <w:rPr>
          <w:rFonts w:hint="eastAsia" w:ascii="楷体" w:hAnsi="楷体" w:eastAsia="楷体" w:cs="楷体"/>
          <w:b/>
          <w:sz w:val="32"/>
          <w:szCs w:val="32"/>
        </w:rPr>
        <w:t>（六）国有资产占用情况说明</w:t>
      </w:r>
    </w:p>
    <w:p>
      <w:pPr>
        <w:spacing w:line="580" w:lineRule="exact"/>
        <w:ind w:left="-185" w:leftChars="-88" w:right="-315" w:rightChars="-150" w:firstLine="64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截至2015年12月31日，公务车实际保有量13辆（固定资产登记在我办的公务车共48辆，除13辆</w:t>
      </w:r>
      <w:r>
        <w:rPr>
          <w:rFonts w:hint="eastAsia" w:ascii="仿宋_GB2312" w:hAnsi="仿宋_GB2312" w:eastAsia="仿宋_GB2312" w:cs="仿宋_GB2312"/>
          <w:sz w:val="32"/>
          <w:szCs w:val="32"/>
          <w:lang w:eastAsia="zh-CN"/>
        </w:rPr>
        <w:t>一般公务用车</w:t>
      </w:r>
      <w:r>
        <w:rPr>
          <w:rFonts w:hint="eastAsia" w:ascii="仿宋_GB2312" w:hAnsi="仿宋_GB2312" w:eastAsia="仿宋_GB2312" w:cs="仿宋_GB2312"/>
          <w:sz w:val="32"/>
          <w:szCs w:val="32"/>
        </w:rPr>
        <w:t>由我办使用、管养外，其他35辆均是固定资产登记在我办所有，实物移交给区机关事务管理局等区直单位使用）</w:t>
      </w:r>
      <w:r>
        <w:rPr>
          <w:rFonts w:hint="eastAsia" w:ascii="仿宋_GB2312" w:hAnsi="仿宋_GB2312" w:eastAsia="仿宋_GB2312" w:cs="仿宋_GB2312"/>
          <w:sz w:val="32"/>
          <w:szCs w:val="32"/>
          <w:lang w:eastAsia="zh-CN"/>
        </w:rPr>
        <w:t>。</w:t>
      </w:r>
    </w:p>
    <w:p>
      <w:pPr>
        <w:spacing w:line="580" w:lineRule="exact"/>
        <w:ind w:left="-185" w:leftChars="-88" w:right="-315" w:rightChars="-150" w:firstLine="643"/>
        <w:rPr>
          <w:rFonts w:hint="eastAsia" w:ascii="楷体" w:hAnsi="楷体" w:eastAsia="楷体" w:cs="楷体"/>
          <w:b/>
          <w:sz w:val="32"/>
          <w:szCs w:val="32"/>
          <w:lang w:eastAsia="zh-CN"/>
        </w:rPr>
      </w:pPr>
      <w:r>
        <w:rPr>
          <w:rFonts w:hint="eastAsia" w:ascii="楷体" w:hAnsi="楷体" w:eastAsia="楷体" w:cs="楷体"/>
          <w:b/>
          <w:sz w:val="32"/>
          <w:szCs w:val="32"/>
          <w:lang w:eastAsia="zh-CN"/>
        </w:rPr>
        <w:t>（七）预算绩效管理工作开展情况说明</w:t>
      </w:r>
      <w:r>
        <w:rPr>
          <w:rFonts w:hint="eastAsia" w:ascii="楷体" w:hAnsi="楷体" w:eastAsia="楷体" w:cs="楷体"/>
          <w:b/>
          <w:sz w:val="32"/>
          <w:szCs w:val="32"/>
          <w:lang w:eastAsia="zh-CN"/>
        </w:rPr>
        <w:tab/>
      </w:r>
    </w:p>
    <w:p>
      <w:pPr>
        <w:spacing w:line="580" w:lineRule="exact"/>
        <w:ind w:left="-185" w:leftChars="-88" w:right="-315" w:rightChars="-150" w:firstLine="64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主要民生项目：2015年度没有主要民生项目收支。</w:t>
      </w:r>
    </w:p>
    <w:p>
      <w:pPr>
        <w:spacing w:line="580" w:lineRule="exact"/>
        <w:ind w:left="-185" w:leftChars="-88" w:right="-315" w:rightChars="-150"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重点支出项目：2015年度重点支出项目主要有2个。1.承担“金平区政务信息系统”建设任务，投入资金、人力开展系统开发、设计、测试工作，确保系统能在</w:t>
      </w:r>
      <w:r>
        <w:rPr>
          <w:rFonts w:hint="eastAsia" w:ascii="仿宋_GB2312" w:hAnsi="仿宋_GB2312" w:eastAsia="仿宋_GB2312" w:cs="仿宋_GB2312"/>
          <w:sz w:val="32"/>
          <w:szCs w:val="32"/>
          <w:lang w:val="en-US" w:eastAsia="zh-CN"/>
        </w:rPr>
        <w:t>2016年正式投入使用，</w:t>
      </w:r>
      <w:r>
        <w:rPr>
          <w:rFonts w:hint="eastAsia" w:ascii="仿宋_GB2312" w:hAnsi="仿宋_GB2312" w:eastAsia="仿宋_GB2312" w:cs="仿宋_GB2312"/>
          <w:sz w:val="32"/>
          <w:szCs w:val="32"/>
          <w:lang w:eastAsia="zh-CN"/>
        </w:rPr>
        <w:t>绩效评价结果为优；2.</w:t>
      </w:r>
      <w:r>
        <w:rPr>
          <w:rFonts w:hint="eastAsia" w:ascii="仿宋_GB2312" w:hAnsi="仿宋_GB2312" w:eastAsia="仿宋_GB2312" w:cs="仿宋_GB2312"/>
          <w:sz w:val="32"/>
          <w:szCs w:val="32"/>
          <w:lang w:val="en-US" w:eastAsia="zh-CN"/>
        </w:rPr>
        <w:t>多渠道多形式服务决策，利用信息化手段，投入资金、人力创建《金平早读》、《决策参考》、《党群E讯》、《金平快讯》四个手机报栏目，编辑时政新闻、政策解读、各地先进经验做法、践行群众路线动态、区内各单位工作亮点及成效等内容资料，及时发送至区各套领导班子及各单位主要领导，方便领导干部及时掌握全区工作动态，去年共编发242期。此外，编发纸质版《决策参阅》22期，其中区委区政府主要领导作出重要批示7次。及时将我区工作特色亮点、社情民意及基层呼声在第一时间报送上级部门，去年共向省、市报送信息专报158篇次，被省、市分别采用5和56篇次，区委主要领导作出重要批示7次，上报省信息被采用在全市各区县中列第一名，</w:t>
      </w:r>
      <w:bookmarkStart w:id="0" w:name="_GoBack"/>
      <w:bookmarkEnd w:id="0"/>
      <w:r>
        <w:rPr>
          <w:rFonts w:hint="eastAsia" w:ascii="仿宋_GB2312" w:hAnsi="仿宋_GB2312" w:eastAsia="仿宋_GB2312" w:cs="仿宋_GB2312"/>
          <w:sz w:val="32"/>
          <w:szCs w:val="32"/>
          <w:lang w:eastAsia="zh-CN"/>
        </w:rPr>
        <w:t>绩效评价结果为优。</w:t>
      </w:r>
    </w:p>
    <w:p>
      <w:pPr>
        <w:spacing w:line="580" w:lineRule="exact"/>
        <w:ind w:right="-315" w:rightChars="-150" w:firstLine="630" w:firstLineChars="196"/>
        <w:rPr>
          <w:rFonts w:hint="eastAsia" w:ascii="黑体" w:hAnsi="黑体" w:eastAsia="黑体" w:cs="黑体"/>
          <w:b w:val="0"/>
          <w:bCs/>
          <w:sz w:val="32"/>
          <w:szCs w:val="32"/>
        </w:rPr>
      </w:pPr>
      <w:r>
        <w:rPr>
          <w:rFonts w:hint="eastAsia" w:ascii="黑体" w:hAnsi="黑体" w:eastAsia="黑体" w:cs="黑体"/>
          <w:b w:val="0"/>
          <w:bCs/>
          <w:sz w:val="32"/>
          <w:szCs w:val="32"/>
        </w:rPr>
        <w:t>三、专业名词解释</w:t>
      </w:r>
    </w:p>
    <w:p>
      <w:pPr>
        <w:spacing w:line="580" w:lineRule="exact"/>
        <w:ind w:left="-185" w:leftChars="-88" w:right="-315" w:rightChars="-15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财政拨款收入：是指一般公共预算和政府性基金的拨款；</w:t>
      </w:r>
    </w:p>
    <w:p>
      <w:pPr>
        <w:spacing w:line="580" w:lineRule="exact"/>
        <w:ind w:left="-185" w:leftChars="-88" w:right="-315" w:rightChars="-150"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财政拨款支出：是指使用一般公共预算和政府性基金拨款的支出；</w:t>
      </w:r>
    </w:p>
    <w:p>
      <w:pPr>
        <w:spacing w:line="580" w:lineRule="exact"/>
        <w:ind w:left="-185" w:leftChars="-88" w:right="-315" w:rightChars="-150"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公”经费支出：是指因公出国（境）经费、公务用车购置及运行维护费和公务接待费。其中：因公出国（境）经费是指行政单位、事业单位工作人员公务出国（境）的住宿费、旅费、伙食补助费、杂费、培训费等支出；公务用车购置及运行维护费指行政单位、事业单位公务用车购置费、公务用车租用费、燃料费、维修费、过桥过路费、保险费等支出；公务接待费指行政单位、事业单位按规定开支的各项公务接待（外宾接待）费用；</w:t>
      </w:r>
    </w:p>
    <w:p>
      <w:pPr>
        <w:spacing w:line="580" w:lineRule="exact"/>
        <w:ind w:left="-185" w:leftChars="-88" w:right="-315" w:rightChars="-150"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机关运行经费支出：是指为保障机关运行，用于购买货物和服务的各项资金。</w:t>
      </w:r>
    </w:p>
    <w:p>
      <w:pPr>
        <w:spacing w:line="580" w:lineRule="exact"/>
        <w:ind w:right="-315" w:rightChars="-150"/>
        <w:rPr>
          <w:rFonts w:hint="eastAsia" w:ascii="仿宋_GB2312" w:hAnsi="仿宋_GB2312" w:eastAsia="仿宋_GB2312" w:cs="仿宋_GB2312"/>
          <w:sz w:val="32"/>
          <w:szCs w:val="32"/>
        </w:rPr>
      </w:pPr>
    </w:p>
    <w:p>
      <w:pPr>
        <w:spacing w:line="580" w:lineRule="exact"/>
        <w:ind w:right="-315" w:rightChars="-150"/>
        <w:rPr>
          <w:rFonts w:hint="eastAsia" w:ascii="仿宋_GB2312" w:hAnsi="仿宋_GB2312" w:eastAsia="仿宋_GB2312" w:cs="仿宋_GB2312"/>
          <w:sz w:val="32"/>
          <w:szCs w:val="32"/>
        </w:rPr>
      </w:pPr>
    </w:p>
    <w:p>
      <w:pPr>
        <w:spacing w:line="580" w:lineRule="exact"/>
        <w:ind w:right="-315" w:rightChars="-15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中共汕头市金平区委办公室</w:t>
      </w:r>
    </w:p>
    <w:p>
      <w:pPr>
        <w:spacing w:line="580" w:lineRule="exact"/>
        <w:ind w:right="-315" w:rightChars="-15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2016年9月23日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幼圆">
    <w:panose1 w:val="0201050906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新宋体">
    <w:panose1 w:val="02010609030101010101"/>
    <w:charset w:val="86"/>
    <w:family w:val="auto"/>
    <w:pitch w:val="default"/>
    <w:sig w:usb0="00000003" w:usb1="288F0000" w:usb2="00000006" w:usb3="00000000" w:csb0="00040001" w:csb1="00000000"/>
  </w:font>
  <w:font w:name="方正姚体">
    <w:panose1 w:val="02010601030101010101"/>
    <w:charset w:val="86"/>
    <w:family w:val="auto"/>
    <w:pitch w:val="default"/>
    <w:sig w:usb0="00000003" w:usb1="080E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隶书">
    <w:panose1 w:val="02010509060101010101"/>
    <w:charset w:val="86"/>
    <w:family w:val="auto"/>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Batang">
    <w:panose1 w:val="02030600000101010101"/>
    <w:charset w:val="81"/>
    <w:family w:val="auto"/>
    <w:pitch w:val="default"/>
    <w:sig w:usb0="B00002AF" w:usb1="69D77CFB" w:usb2="00000030" w:usb3="00000000" w:csb0="4008009F" w:csb1="DFD70000"/>
  </w:font>
  <w:font w:name="BatangChe">
    <w:panose1 w:val="02030609000101010101"/>
    <w:charset w:val="81"/>
    <w:family w:val="auto"/>
    <w:pitch w:val="default"/>
    <w:sig w:usb0="B00002AF" w:usb1="69D77CFB" w:usb2="00000030" w:usb3="00000000" w:csb0="4008009F" w:csb1="DFD70000"/>
  </w:font>
  <w:font w:name="DFKai-SB">
    <w:panose1 w:val="03000509000000000000"/>
    <w:charset w:val="88"/>
    <w:family w:val="auto"/>
    <w:pitch w:val="default"/>
    <w:sig w:usb0="00000003" w:usb1="082E0000" w:usb2="00000016" w:usb3="00000000" w:csb0="00100001" w:csb1="00000000"/>
  </w:font>
  <w:font w:name="Dotum">
    <w:panose1 w:val="020B0600000101010101"/>
    <w:charset w:val="81"/>
    <w:family w:val="auto"/>
    <w:pitch w:val="default"/>
    <w:sig w:usb0="B00002AF" w:usb1="69D77CFB" w:usb2="00000030" w:usb3="00000000" w:csb0="4008009F" w:csb1="DFD70000"/>
  </w:font>
  <w:font w:name="DotumChe">
    <w:panose1 w:val="020B0609000101010101"/>
    <w:charset w:val="81"/>
    <w:family w:val="auto"/>
    <w:pitch w:val="default"/>
    <w:sig w:usb0="B00002AF" w:usb1="69D77CFB" w:usb2="00000030" w:usb3="00000000" w:csb0="4008009F" w:csb1="DFD70000"/>
  </w:font>
  <w:font w:name="GulimChe">
    <w:panose1 w:val="020B0609000101010101"/>
    <w:charset w:val="81"/>
    <w:family w:val="auto"/>
    <w:pitch w:val="default"/>
    <w:sig w:usb0="B00002AF" w:usb1="69D77CFB" w:usb2="00000030" w:usb3="00000000" w:csb0="4008009F" w:csb1="DFD70000"/>
  </w:font>
  <w:font w:name="Meiryo">
    <w:panose1 w:val="020B0604030504040204"/>
    <w:charset w:val="80"/>
    <w:family w:val="auto"/>
    <w:pitch w:val="default"/>
    <w:sig w:usb0="E10102FF" w:usb1="EAC7FFFF" w:usb2="00010012" w:usb3="00000000" w:csb0="6002009F" w:csb1="DFD70000"/>
  </w:font>
  <w:font w:name="Microsoft JhengHei">
    <w:panose1 w:val="020B0604030504040204"/>
    <w:charset w:val="88"/>
    <w:family w:val="auto"/>
    <w:pitch w:val="default"/>
    <w:sig w:usb0="00000087" w:usb1="28AF4000" w:usb2="00000016" w:usb3="00000000" w:csb0="00100009" w:csb1="00000000"/>
  </w:font>
  <w:font w:name="SimSun-ExtB">
    <w:panose1 w:val="02010609060101010101"/>
    <w:charset w:val="86"/>
    <w:family w:val="auto"/>
    <w:pitch w:val="default"/>
    <w:sig w:usb0="00000001" w:usb1="02000000" w:usb2="00000000" w:usb3="00000000" w:csb0="00040001" w:csb1="00000000"/>
  </w:font>
  <w:font w:name="Angsana New">
    <w:panose1 w:val="02020603050405020304"/>
    <w:charset w:val="00"/>
    <w:family w:val="auto"/>
    <w:pitch w:val="default"/>
    <w:sig w:usb0="81000003" w:usb1="00000000" w:usb2="00000000" w:usb3="00000000" w:csb0="00010001" w:csb1="00000000"/>
  </w:font>
  <w:font w:name="Andalus">
    <w:panose1 w:val="02020603050405020304"/>
    <w:charset w:val="00"/>
    <w:family w:val="auto"/>
    <w:pitch w:val="default"/>
    <w:sig w:usb0="00002003" w:usb1="80000000" w:usb2="00000008" w:usb3="00000000" w:csb0="00000041" w:csb1="20080000"/>
  </w:font>
  <w:font w:name="Algerian">
    <w:panose1 w:val="04020705040A02060702"/>
    <w:charset w:val="00"/>
    <w:family w:val="auto"/>
    <w:pitch w:val="default"/>
    <w:sig w:usb0="00000003" w:usb1="00000000" w:usb2="00000000" w:usb3="00000000" w:csb0="20000001" w:csb1="00000000"/>
  </w:font>
  <w:font w:name="Aharoni">
    <w:panose1 w:val="02010803020104030203"/>
    <w:charset w:val="00"/>
    <w:family w:val="auto"/>
    <w:pitch w:val="default"/>
    <w:sig w:usb0="00000801" w:usb1="00000000" w:usb2="00000000" w:usb3="00000000" w:csb0="00000020" w:csb1="00200000"/>
  </w:font>
  <w:font w:name="Zfull-GB">
    <w:panose1 w:val="02010600030101010101"/>
    <w:charset w:val="86"/>
    <w:family w:val="auto"/>
    <w:pitch w:val="default"/>
    <w:sig w:usb0="800002BF" w:usb1="38CF7CFA" w:usb2="00000016" w:usb3="00000000" w:csb0="00160001" w:csb1="00000000"/>
  </w:font>
  <w:font w:name="Aparajita">
    <w:panose1 w:val="020B0604020202020204"/>
    <w:charset w:val="00"/>
    <w:family w:val="auto"/>
    <w:pitch w:val="default"/>
    <w:sig w:usb0="00008003" w:usb1="00000000" w:usb2="00000000" w:usb3="00000000" w:csb0="00000001" w:csb1="00000000"/>
  </w:font>
  <w:font w:name="Arial Black">
    <w:panose1 w:val="020B0A04020102020204"/>
    <w:charset w:val="00"/>
    <w:family w:val="auto"/>
    <w:pitch w:val="default"/>
    <w:sig w:usb0="00000287" w:usb1="00000000" w:usb2="00000000" w:usb3="00000000" w:csb0="2000009F" w:csb1="DFD70000"/>
  </w:font>
  <w:font w:name="Arial Narrow">
    <w:panose1 w:val="020B0506020202030204"/>
    <w:charset w:val="00"/>
    <w:family w:val="auto"/>
    <w:pitch w:val="default"/>
    <w:sig w:usb0="00000287" w:usb1="00000000" w:usb2="00000000" w:usb3="00000000" w:csb0="2000009F" w:csb1="DFD70000"/>
  </w:font>
  <w:font w:name="Baskerville Old Face">
    <w:panose1 w:val="02020602080505020303"/>
    <w:charset w:val="00"/>
    <w:family w:val="auto"/>
    <w:pitch w:val="default"/>
    <w:sig w:usb0="00000003" w:usb1="00000000" w:usb2="00000000" w:usb3="00000000" w:csb0="20000001" w:csb1="00000000"/>
  </w:font>
  <w:font w:name="Bauhaus 93">
    <w:panose1 w:val="04030905020B02020C02"/>
    <w:charset w:val="00"/>
    <w:family w:val="auto"/>
    <w:pitch w:val="default"/>
    <w:sig w:usb0="00000003" w:usb1="00000000" w:usb2="00000000" w:usb3="00000000" w:csb0="20000001" w:csb1="00000000"/>
  </w:font>
  <w:font w:name="Berlin Sans FB Demi">
    <w:panose1 w:val="020E0802020502020306"/>
    <w:charset w:val="00"/>
    <w:family w:val="auto"/>
    <w:pitch w:val="default"/>
    <w:sig w:usb0="00000003" w:usb1="00000000" w:usb2="00000000" w:usb3="00000000" w:csb0="20000001" w:csb1="00000000"/>
  </w:font>
  <w:font w:name="KodchiangUPC">
    <w:panose1 w:val="02020603050405020304"/>
    <w:charset w:val="00"/>
    <w:family w:val="auto"/>
    <w:pitch w:val="default"/>
    <w:sig w:usb0="01000007" w:usb1="00000002" w:usb2="00000000" w:usb3="00000000" w:csb0="00010001" w:csb1="00000000"/>
  </w:font>
  <w:font w:name="Lucida Calligraphy">
    <w:panose1 w:val="03010101010101010101"/>
    <w:charset w:val="00"/>
    <w:family w:val="auto"/>
    <w:pitch w:val="default"/>
    <w:sig w:usb0="00000003" w:usb1="00000000" w:usb2="00000000" w:usb3="00000000" w:csb0="20000001" w:csb1="00000000"/>
  </w:font>
  <w:font w:name="Simplified Arabic">
    <w:panose1 w:val="02020603050405020304"/>
    <w:charset w:val="00"/>
    <w:family w:val="auto"/>
    <w:pitch w:val="default"/>
    <w:sig w:usb0="00002003" w:usb1="00000000" w:usb2="00000000" w:usb3="00000000" w:csb0="00000041" w:csb1="20080000"/>
  </w:font>
  <w:font w:name="MV Boli">
    <w:panose1 w:val="02000500030200090000"/>
    <w:charset w:val="00"/>
    <w:family w:val="auto"/>
    <w:pitch w:val="default"/>
    <w:sig w:usb0="00000003" w:usb1="00000000" w:usb2="00000100" w:usb3="00000000" w:csb0="00000001" w:csb1="00000000"/>
  </w:font>
  <w:font w:name="MT Extra">
    <w:panose1 w:val="05050102010205020202"/>
    <w:charset w:val="00"/>
    <w:family w:val="auto"/>
    <w:pitch w:val="default"/>
    <w:sig w:usb0="80000000" w:usb1="00000000" w:usb2="00000000" w:usb3="00000000" w:csb0="00000000" w:csb1="00000000"/>
  </w:font>
  <w:font w:name="MS Reference Specialty">
    <w:panose1 w:val="05000500000000000000"/>
    <w:charset w:val="00"/>
    <w:family w:val="auto"/>
    <w:pitch w:val="default"/>
    <w:sig w:usb0="00000000" w:usb1="00000000" w:usb2="00000000" w:usb3="00000000" w:csb0="80000000" w:csb1="00000000"/>
  </w:font>
  <w:font w:name="MS Reference Sans Serif">
    <w:panose1 w:val="020B0604030504040204"/>
    <w:charset w:val="00"/>
    <w:family w:val="auto"/>
    <w:pitch w:val="default"/>
    <w:sig w:usb0="00000287" w:usb1="00000000" w:usb2="00000000" w:usb3="00000000" w:csb0="2000019F" w:csb1="00000000"/>
  </w:font>
  <w:font w:name="MoolBoran">
    <w:panose1 w:val="020B0100010101010101"/>
    <w:charset w:val="00"/>
    <w:family w:val="auto"/>
    <w:pitch w:val="default"/>
    <w:sig w:usb0="8000000F" w:usb1="0000204A" w:usb2="00010000" w:usb3="00000000" w:csb0="00000001" w:csb1="00000000"/>
  </w:font>
  <w:font w:name="Monotype Corsiva">
    <w:panose1 w:val="03010101010201010101"/>
    <w:charset w:val="00"/>
    <w:family w:val="auto"/>
    <w:pitch w:val="default"/>
    <w:sig w:usb0="00000287" w:usb1="00000000" w:usb2="00000000" w:usb3="00000000" w:csb0="2000009F" w:csb1="DFD70000"/>
  </w:font>
  <w:font w:name="Mongolian Baiti">
    <w:panose1 w:val="03000500000000000000"/>
    <w:charset w:val="00"/>
    <w:family w:val="auto"/>
    <w:pitch w:val="default"/>
    <w:sig w:usb0="80000023" w:usb1="00000000" w:usb2="00020000" w:usb3="00000000" w:csb0="00000001" w:csb1="0000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华文行楷">
    <w:panose1 w:val="02010800040101010101"/>
    <w:charset w:val="86"/>
    <w:family w:val="auto"/>
    <w:pitch w:val="default"/>
    <w:sig w:usb0="00000001" w:usb1="080F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宋体-方正超大字符集">
    <w:panose1 w:val="03000509000000000000"/>
    <w:charset w:val="86"/>
    <w:family w:val="auto"/>
    <w:pitch w:val="default"/>
    <w:sig w:usb0="00000001" w:usb1="080E0000" w:usb2="00000000" w:usb3="00000000" w:csb0="00040000" w:csb1="00000000"/>
  </w:font>
  <w:font w:name="小点阵">
    <w:panose1 w:val="02000500000000000000"/>
    <w:charset w:val="86"/>
    <w:family w:val="auto"/>
    <w:pitch w:val="default"/>
    <w:sig w:usb0="800002FF" w:usb1="38CF7CFA" w:usb2="00000016" w:usb3="00000000" w:csb0="00160004" w:csb1="02020000"/>
  </w:font>
  <w:font w:name="华文琥珀">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方正小标宋简体">
    <w:altName w:val="Arial Unicode MS"/>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p>
    <w:pPr>
      <w:pStyle w:val="2"/>
    </w:pPr>
    <w:r>
      <w:rPr>
        <w:sz w:val="18"/>
      </w:rPr>
      <w:pict>
        <v:shape id="_x0000_s4097" o:spid="_x0000_s4097"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4F58AE"/>
    <w:rsid w:val="00002554"/>
    <w:rsid w:val="00043F4D"/>
    <w:rsid w:val="00062240"/>
    <w:rsid w:val="00085847"/>
    <w:rsid w:val="00095340"/>
    <w:rsid w:val="000B476E"/>
    <w:rsid w:val="000B59AB"/>
    <w:rsid w:val="000C4FE3"/>
    <w:rsid w:val="000F4B70"/>
    <w:rsid w:val="001046B8"/>
    <w:rsid w:val="001525F7"/>
    <w:rsid w:val="0015372B"/>
    <w:rsid w:val="001577A8"/>
    <w:rsid w:val="0018091D"/>
    <w:rsid w:val="001A7928"/>
    <w:rsid w:val="001C40A2"/>
    <w:rsid w:val="001D33CF"/>
    <w:rsid w:val="001E3B29"/>
    <w:rsid w:val="001E6B84"/>
    <w:rsid w:val="0023075F"/>
    <w:rsid w:val="00237D77"/>
    <w:rsid w:val="00256EC5"/>
    <w:rsid w:val="00273534"/>
    <w:rsid w:val="00281EAE"/>
    <w:rsid w:val="00285AFB"/>
    <w:rsid w:val="002A1AA2"/>
    <w:rsid w:val="002A4BE1"/>
    <w:rsid w:val="002B0DD1"/>
    <w:rsid w:val="002B60C4"/>
    <w:rsid w:val="002C3E3E"/>
    <w:rsid w:val="002F49EC"/>
    <w:rsid w:val="0030236E"/>
    <w:rsid w:val="0030411C"/>
    <w:rsid w:val="0031124D"/>
    <w:rsid w:val="003277C1"/>
    <w:rsid w:val="0036763D"/>
    <w:rsid w:val="0038053D"/>
    <w:rsid w:val="003A1E3C"/>
    <w:rsid w:val="003C207F"/>
    <w:rsid w:val="003D0458"/>
    <w:rsid w:val="003D4970"/>
    <w:rsid w:val="003E15DA"/>
    <w:rsid w:val="004120A6"/>
    <w:rsid w:val="00430788"/>
    <w:rsid w:val="0045210E"/>
    <w:rsid w:val="00464FAF"/>
    <w:rsid w:val="004707B1"/>
    <w:rsid w:val="00472EA3"/>
    <w:rsid w:val="004C3337"/>
    <w:rsid w:val="004E44C2"/>
    <w:rsid w:val="004E4D49"/>
    <w:rsid w:val="004F58AE"/>
    <w:rsid w:val="00515311"/>
    <w:rsid w:val="0052024D"/>
    <w:rsid w:val="005272E9"/>
    <w:rsid w:val="005519AE"/>
    <w:rsid w:val="00552810"/>
    <w:rsid w:val="00597DA0"/>
    <w:rsid w:val="005A000F"/>
    <w:rsid w:val="005D7E7A"/>
    <w:rsid w:val="005F231C"/>
    <w:rsid w:val="00603A8C"/>
    <w:rsid w:val="00606CAF"/>
    <w:rsid w:val="00652A4C"/>
    <w:rsid w:val="006532CF"/>
    <w:rsid w:val="006540CD"/>
    <w:rsid w:val="0067233C"/>
    <w:rsid w:val="006914A2"/>
    <w:rsid w:val="006937F0"/>
    <w:rsid w:val="006A2EE7"/>
    <w:rsid w:val="006B1EB3"/>
    <w:rsid w:val="006B3393"/>
    <w:rsid w:val="006C1F8A"/>
    <w:rsid w:val="006C52EE"/>
    <w:rsid w:val="006E6D74"/>
    <w:rsid w:val="006F4C06"/>
    <w:rsid w:val="00700655"/>
    <w:rsid w:val="007346B1"/>
    <w:rsid w:val="00745EB7"/>
    <w:rsid w:val="0077530E"/>
    <w:rsid w:val="00780987"/>
    <w:rsid w:val="0078792A"/>
    <w:rsid w:val="00792635"/>
    <w:rsid w:val="007A0257"/>
    <w:rsid w:val="007A6E48"/>
    <w:rsid w:val="007C1C1B"/>
    <w:rsid w:val="00800D38"/>
    <w:rsid w:val="00843FA3"/>
    <w:rsid w:val="00845F81"/>
    <w:rsid w:val="00851EF1"/>
    <w:rsid w:val="008530D4"/>
    <w:rsid w:val="00862DAA"/>
    <w:rsid w:val="00864EC6"/>
    <w:rsid w:val="0087093A"/>
    <w:rsid w:val="008754F4"/>
    <w:rsid w:val="0087575B"/>
    <w:rsid w:val="00896AC0"/>
    <w:rsid w:val="008A0E01"/>
    <w:rsid w:val="008A378E"/>
    <w:rsid w:val="008A7979"/>
    <w:rsid w:val="008D221D"/>
    <w:rsid w:val="008D6FB8"/>
    <w:rsid w:val="008E0D97"/>
    <w:rsid w:val="008E56D2"/>
    <w:rsid w:val="00910BAD"/>
    <w:rsid w:val="00921033"/>
    <w:rsid w:val="009356B1"/>
    <w:rsid w:val="009415B3"/>
    <w:rsid w:val="00954D3C"/>
    <w:rsid w:val="00983DCA"/>
    <w:rsid w:val="009957AD"/>
    <w:rsid w:val="00997A29"/>
    <w:rsid w:val="009B658D"/>
    <w:rsid w:val="009F0D06"/>
    <w:rsid w:val="00A15853"/>
    <w:rsid w:val="00A24613"/>
    <w:rsid w:val="00A35E9A"/>
    <w:rsid w:val="00A53C47"/>
    <w:rsid w:val="00A76782"/>
    <w:rsid w:val="00A90ADA"/>
    <w:rsid w:val="00AA1118"/>
    <w:rsid w:val="00AA7808"/>
    <w:rsid w:val="00AA7FE9"/>
    <w:rsid w:val="00AF372C"/>
    <w:rsid w:val="00B51363"/>
    <w:rsid w:val="00B60A3E"/>
    <w:rsid w:val="00B8178A"/>
    <w:rsid w:val="00B870DF"/>
    <w:rsid w:val="00B91660"/>
    <w:rsid w:val="00B949F0"/>
    <w:rsid w:val="00B96C8B"/>
    <w:rsid w:val="00BA68C4"/>
    <w:rsid w:val="00BB07BC"/>
    <w:rsid w:val="00BB14DD"/>
    <w:rsid w:val="00BE2734"/>
    <w:rsid w:val="00BF703C"/>
    <w:rsid w:val="00C123C8"/>
    <w:rsid w:val="00C157D4"/>
    <w:rsid w:val="00C53D8A"/>
    <w:rsid w:val="00C558B2"/>
    <w:rsid w:val="00C63CC4"/>
    <w:rsid w:val="00C7747A"/>
    <w:rsid w:val="00C86E83"/>
    <w:rsid w:val="00C91CD5"/>
    <w:rsid w:val="00C969B7"/>
    <w:rsid w:val="00CC29E2"/>
    <w:rsid w:val="00D1427B"/>
    <w:rsid w:val="00D264A7"/>
    <w:rsid w:val="00D34DE3"/>
    <w:rsid w:val="00D42395"/>
    <w:rsid w:val="00D74CA8"/>
    <w:rsid w:val="00D753F3"/>
    <w:rsid w:val="00D80483"/>
    <w:rsid w:val="00DC6620"/>
    <w:rsid w:val="00DF052E"/>
    <w:rsid w:val="00E27208"/>
    <w:rsid w:val="00E77D53"/>
    <w:rsid w:val="00E9171A"/>
    <w:rsid w:val="00EA24C7"/>
    <w:rsid w:val="00EC7431"/>
    <w:rsid w:val="00EF13B7"/>
    <w:rsid w:val="00F01444"/>
    <w:rsid w:val="00F01799"/>
    <w:rsid w:val="00F036B3"/>
    <w:rsid w:val="00F05A20"/>
    <w:rsid w:val="00F578DC"/>
    <w:rsid w:val="00F7754C"/>
    <w:rsid w:val="00F8627F"/>
    <w:rsid w:val="00F95EE7"/>
    <w:rsid w:val="00F97939"/>
    <w:rsid w:val="00FA2034"/>
    <w:rsid w:val="00FA5B2E"/>
    <w:rsid w:val="00FB78A0"/>
    <w:rsid w:val="00FF60D7"/>
    <w:rsid w:val="077C3B7E"/>
    <w:rsid w:val="0E34226F"/>
    <w:rsid w:val="196865E4"/>
    <w:rsid w:val="1B9B68DF"/>
    <w:rsid w:val="1F0C2A03"/>
    <w:rsid w:val="2AF6010A"/>
    <w:rsid w:val="3D404C8F"/>
    <w:rsid w:val="64EE7BD2"/>
    <w:rsid w:val="7F0F732B"/>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4"/>
    <w:link w:val="3"/>
    <w:qFormat/>
    <w:uiPriority w:val="99"/>
    <w:rPr>
      <w:sz w:val="18"/>
      <w:szCs w:val="18"/>
    </w:rPr>
  </w:style>
  <w:style w:type="character" w:customStyle="1" w:styleId="7">
    <w:name w:val="页脚 Char"/>
    <w:basedOn w:val="4"/>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4</Pages>
  <Words>308</Words>
  <Characters>1756</Characters>
  <Lines>14</Lines>
  <Paragraphs>4</Paragraphs>
  <ScaleCrop>false</ScaleCrop>
  <LinksUpToDate>false</LinksUpToDate>
  <CharactersWithSpaces>2060</CharactersWithSpaces>
  <Application>WPS Office_10.1.0.5975_F1E327BC-269C-435d-A152-05C5408002CA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2016-09-13T08:59:00Z</dcterms:created>
  <dc:creator>辛妙玲</dc:creator>
  <cp:lastModifiedBy>user</cp:lastModifiedBy>
  <cp:lastPrinted>2016-09-27T05:02:00Z</cp:lastPrinted>
  <dcterms:modified xsi:type="dcterms:W3CDTF">2016-10-10T07:41:38Z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