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83" w:leftChars="-88" w:right="-315" w:rightChars="-150" w:hanging="2"/>
        <w:jc w:val="left"/>
        <w:rPr>
          <w:rFonts w:ascii="仿宋" w:hAnsi="仿宋" w:eastAsia="仿宋"/>
          <w:sz w:val="28"/>
          <w:szCs w:val="32"/>
        </w:rPr>
      </w:pPr>
      <w:r>
        <w:rPr>
          <w:rFonts w:hint="eastAsia" w:ascii="仿宋" w:hAnsi="仿宋" w:eastAsia="仿宋"/>
          <w:sz w:val="28"/>
          <w:szCs w:val="32"/>
        </w:rPr>
        <w:t>附件2-2：</w:t>
      </w:r>
    </w:p>
    <w:p>
      <w:pPr>
        <w:ind w:left="-183" w:leftChars="-88" w:right="-315" w:rightChars="-150" w:hanging="2"/>
        <w:jc w:val="left"/>
        <w:rPr>
          <w:rFonts w:ascii="仿宋" w:hAnsi="仿宋" w:eastAsia="仿宋"/>
          <w:szCs w:val="32"/>
        </w:rPr>
      </w:pPr>
    </w:p>
    <w:p>
      <w:pPr>
        <w:ind w:left="-183" w:leftChars="-88" w:right="-315" w:rightChars="-150" w:hanging="2"/>
        <w:jc w:val="center"/>
        <w:rPr>
          <w:rFonts w:ascii="黑体" w:hAnsi="黑体" w:eastAsia="黑体"/>
          <w:sz w:val="44"/>
          <w:szCs w:val="44"/>
        </w:rPr>
      </w:pPr>
      <w:r>
        <w:rPr>
          <w:rFonts w:hint="eastAsia" w:ascii="黑体" w:hAnsi="黑体" w:eastAsia="黑体"/>
          <w:sz w:val="44"/>
          <w:szCs w:val="44"/>
          <w:lang w:val="en-US" w:eastAsia="zh-CN"/>
        </w:rPr>
        <w:t xml:space="preserve">          </w:t>
      </w:r>
      <w:r>
        <w:rPr>
          <w:rFonts w:hint="eastAsia" w:ascii="黑体" w:hAnsi="黑体" w:eastAsia="黑体"/>
          <w:sz w:val="44"/>
          <w:szCs w:val="44"/>
        </w:rPr>
        <w:t>2015年</w:t>
      </w:r>
      <w:r>
        <w:rPr>
          <w:rFonts w:hint="eastAsia" w:ascii="黑体" w:hAnsi="黑体" w:eastAsia="黑体"/>
          <w:sz w:val="44"/>
          <w:szCs w:val="44"/>
          <w:lang w:eastAsia="zh-CN"/>
        </w:rPr>
        <w:t>汕头市长厦小学</w:t>
      </w:r>
      <w:r>
        <w:rPr>
          <w:rFonts w:hint="eastAsia" w:ascii="黑体" w:hAnsi="黑体" w:eastAsia="黑体"/>
          <w:sz w:val="44"/>
          <w:szCs w:val="44"/>
        </w:rPr>
        <w:t>部门决算基本情况说明</w:t>
      </w:r>
    </w:p>
    <w:p>
      <w:pPr>
        <w:ind w:left="-185" w:leftChars="-88" w:right="-315" w:rightChars="-150" w:firstLine="640"/>
        <w:rPr>
          <w:rFonts w:ascii="黑体" w:hAnsi="黑体" w:eastAsia="黑体"/>
          <w:szCs w:val="32"/>
        </w:rPr>
      </w:pPr>
    </w:p>
    <w:p>
      <w:pPr>
        <w:spacing w:line="580" w:lineRule="exact"/>
        <w:ind w:right="-315" w:rightChars="-150"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一、部门基本情况</w:t>
      </w:r>
    </w:p>
    <w:p>
      <w:pPr>
        <w:spacing w:line="288" w:lineRule="auto"/>
        <w:ind w:right="-50" w:rightChars="-24"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（一）部门机构设置、职能</w:t>
      </w:r>
    </w:p>
    <w:p>
      <w:pPr>
        <w:adjustRightInd w:val="0"/>
        <w:snapToGrid w:val="0"/>
        <w:spacing w:line="360" w:lineRule="auto"/>
        <w:ind w:firstLine="560" w:firstLineChars="200"/>
        <w:jc w:val="left"/>
        <w:rPr>
          <w:rFonts w:hint="eastAsia" w:ascii="宋体" w:hAnsi="宋体"/>
          <w:sz w:val="28"/>
        </w:rPr>
      </w:pPr>
      <w:r>
        <w:rPr>
          <w:rFonts w:hint="eastAsia" w:ascii="宋体" w:hAnsi="宋体" w:cs="仿宋_GB2312"/>
          <w:sz w:val="28"/>
          <w:lang w:bidi="ar"/>
        </w:rPr>
        <w:t>我校</w:t>
      </w:r>
      <w:r>
        <w:rPr>
          <w:rFonts w:hint="eastAsia" w:ascii="宋体" w:hAnsi="宋体"/>
          <w:sz w:val="28"/>
        </w:rPr>
        <w:t>是一所全日制公办小学，</w:t>
      </w:r>
      <w:bookmarkStart w:id="1" w:name="_GoBack"/>
      <w:bookmarkEnd w:id="1"/>
      <w:r>
        <w:rPr>
          <w:rFonts w:hint="eastAsia" w:ascii="宋体" w:hAnsi="宋体" w:cs="仿宋_GB2312"/>
          <w:sz w:val="28"/>
          <w:lang w:bidi="ar"/>
        </w:rPr>
        <w:t>学校内部设置有教务处、总务处、</w:t>
      </w:r>
      <w:r>
        <w:rPr>
          <w:rFonts w:hint="eastAsia" w:ascii="宋体" w:hAnsi="宋体"/>
          <w:sz w:val="28"/>
        </w:rPr>
        <w:t>体卫艺处</w:t>
      </w:r>
      <w:r>
        <w:rPr>
          <w:rFonts w:hint="eastAsia" w:ascii="宋体" w:hAnsi="宋体" w:cs="仿宋_GB2312"/>
          <w:sz w:val="28"/>
          <w:lang w:bidi="ar"/>
        </w:rPr>
        <w:t>等三个处室。学校的基本职能是</w:t>
      </w:r>
      <w:r>
        <w:rPr>
          <w:rFonts w:hint="eastAsia" w:ascii="宋体" w:hAnsi="宋体"/>
          <w:sz w:val="28"/>
        </w:rPr>
        <w:t>贯彻执行党和国家的教育方针政策，承担小学义务教育任务，负责制定年度教育计划并组织实施，执行国家教育教学标准，培养德、智、体、美、劳全面发展的学生，承担上级布置的各项任务，规范教育教学秩序，负责教师的师德培训与管理，确保教育教学质量。</w:t>
      </w:r>
    </w:p>
    <w:p>
      <w:pPr>
        <w:spacing w:line="288" w:lineRule="auto"/>
        <w:ind w:right="-50" w:rightChars="-24"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（二）人员构成情况</w:t>
      </w:r>
    </w:p>
    <w:p>
      <w:pPr>
        <w:spacing w:line="288" w:lineRule="auto"/>
        <w:ind w:right="-50" w:rightChars="-24" w:firstLine="640" w:firstLineChars="200"/>
        <w:rPr>
          <w:rFonts w:asciiTheme="majorEastAsia" w:hAnsiTheme="majorEastAsia" w:eastAsiaTheme="majorEastAsia"/>
          <w:sz w:val="32"/>
          <w:szCs w:val="32"/>
        </w:rPr>
      </w:pPr>
      <w:r>
        <w:rPr>
          <w:rFonts w:hint="eastAsia" w:ascii="宋体" w:hAnsi="宋体" w:cs="仿宋_GB2312"/>
          <w:sz w:val="28"/>
          <w:lang w:bidi="ar"/>
        </w:rPr>
        <w:t>学校拥有先进的教育教学设施和一支优秀的教职工队伍。</w:t>
      </w:r>
      <w:r>
        <w:rPr>
          <w:rFonts w:hint="eastAsia" w:ascii="宋体" w:hAnsi="宋体"/>
          <w:sz w:val="28"/>
        </w:rPr>
        <w:t>共有事业编制108人。实有在职人员105人，退休人员48人。</w:t>
      </w:r>
    </w:p>
    <w:p>
      <w:pPr>
        <w:spacing w:line="288" w:lineRule="auto"/>
        <w:ind w:right="-50" w:rightChars="-24"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（三）决算年度的主要工作任务</w:t>
      </w:r>
    </w:p>
    <w:p>
      <w:pPr>
        <w:spacing w:line="288" w:lineRule="auto"/>
        <w:ind w:right="-50" w:rightChars="-24" w:firstLine="640" w:firstLineChars="200"/>
        <w:rPr>
          <w:rFonts w:asciiTheme="majorEastAsia" w:hAnsiTheme="majorEastAsia" w:eastAsiaTheme="majorEastAsia"/>
          <w:sz w:val="32"/>
          <w:szCs w:val="32"/>
        </w:rPr>
      </w:pPr>
      <w:r>
        <w:rPr>
          <w:rFonts w:hint="eastAsia" w:ascii="宋体" w:hAnsi="宋体" w:cs="仿宋_GB2312"/>
          <w:sz w:val="28"/>
          <w:lang w:bidi="ar"/>
        </w:rPr>
        <w:t>在上级各有关部门的大力支持下，在全校教职员工努力下，学校办学综合实力不断提高，教学质量突出，成绩名列前茅，得到社会各界的好评，在地区起到较好的示范作用。</w:t>
      </w:r>
    </w:p>
    <w:p>
      <w:pPr>
        <w:spacing w:line="288" w:lineRule="auto"/>
        <w:ind w:right="-50" w:rightChars="-24"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二、预算执行情况分析</w:t>
      </w:r>
    </w:p>
    <w:p>
      <w:pPr>
        <w:spacing w:line="288" w:lineRule="auto"/>
        <w:ind w:right="-50" w:rightChars="-24"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（一）收入情况说明</w:t>
      </w:r>
    </w:p>
    <w:p>
      <w:pPr>
        <w:spacing w:line="288" w:lineRule="auto"/>
        <w:ind w:right="-50" w:rightChars="-24" w:firstLine="640" w:firstLineChars="200"/>
        <w:rPr>
          <w:rFonts w:asciiTheme="majorEastAsia" w:hAnsiTheme="majorEastAsia" w:eastAsiaTheme="majorEastAsia"/>
          <w:sz w:val="32"/>
          <w:szCs w:val="32"/>
        </w:rPr>
      </w:pPr>
      <w:r>
        <w:rPr>
          <w:rFonts w:hint="eastAsia" w:asciiTheme="majorEastAsia" w:hAnsiTheme="majorEastAsia" w:eastAsiaTheme="majorEastAsia"/>
          <w:sz w:val="32"/>
          <w:szCs w:val="32"/>
        </w:rPr>
        <w:t>2015年收入决算 1230.48 万元，比2014年决算数减少</w:t>
      </w:r>
      <w:r>
        <w:rPr>
          <w:rFonts w:hint="eastAsia" w:ascii="仿宋" w:hAnsi="仿宋" w:eastAsia="仿宋"/>
          <w:szCs w:val="32"/>
        </w:rPr>
        <w:t xml:space="preserve">  </w:t>
      </w:r>
      <w:r>
        <w:rPr>
          <w:rFonts w:hint="eastAsia" w:asciiTheme="majorEastAsia" w:hAnsiTheme="majorEastAsia" w:eastAsiaTheme="majorEastAsia"/>
          <w:sz w:val="32"/>
          <w:szCs w:val="32"/>
        </w:rPr>
        <w:t>478.12</w:t>
      </w:r>
      <w:r>
        <w:rPr>
          <w:rFonts w:hint="eastAsia" w:asciiTheme="majorEastAsia" w:hAnsiTheme="majorEastAsia" w:eastAsiaTheme="majorEastAsia"/>
          <w:sz w:val="32"/>
          <w:szCs w:val="32"/>
        </w:rPr>
        <w:t>万元，原因是我校汇翠校区独立办学，教师和学生人数减少，财政拨款相应减少</w:t>
      </w:r>
      <w:r>
        <w:rPr>
          <w:rFonts w:hint="eastAsia" w:asciiTheme="majorEastAsia" w:hAnsiTheme="majorEastAsia" w:eastAsiaTheme="majorEastAsia"/>
          <w:sz w:val="32"/>
          <w:szCs w:val="32"/>
        </w:rPr>
        <w:t>。其中：财政拨款收入 1213.82</w:t>
      </w:r>
      <w:r>
        <w:rPr>
          <w:rFonts w:hint="eastAsia" w:asciiTheme="majorEastAsia" w:hAnsiTheme="majorEastAsia" w:eastAsiaTheme="majorEastAsia"/>
          <w:sz w:val="32"/>
          <w:szCs w:val="32"/>
        </w:rPr>
        <w:t xml:space="preserve"> 万元，比2015年预算数增加</w:t>
      </w:r>
      <w:r>
        <w:rPr>
          <w:rFonts w:hint="eastAsia" w:asciiTheme="majorEastAsia" w:hAnsiTheme="majorEastAsia" w:eastAsiaTheme="majorEastAsia"/>
          <w:sz w:val="32"/>
          <w:szCs w:val="32"/>
          <w:lang w:val="en-US" w:eastAsia="zh-CN"/>
        </w:rPr>
        <w:t>474.29</w:t>
      </w:r>
      <w:r>
        <w:rPr>
          <w:rFonts w:hint="eastAsia" w:asciiTheme="majorEastAsia" w:hAnsiTheme="majorEastAsia" w:eastAsiaTheme="majorEastAsia"/>
          <w:sz w:val="32"/>
          <w:szCs w:val="32"/>
        </w:rPr>
        <w:t>万元，原因是提高教师工资待遇和专项配套资金的拨款</w:t>
      </w:r>
      <w:r>
        <w:rPr>
          <w:rFonts w:hint="eastAsia" w:asciiTheme="majorEastAsia" w:hAnsiTheme="majorEastAsia" w:eastAsiaTheme="majorEastAsia"/>
          <w:sz w:val="32"/>
          <w:szCs w:val="32"/>
        </w:rPr>
        <w:t>。其他收入  16.36</w:t>
      </w:r>
      <w:r>
        <w:rPr>
          <w:rFonts w:hint="eastAsia" w:asciiTheme="majorEastAsia" w:hAnsiTheme="majorEastAsia" w:eastAsiaTheme="majorEastAsia"/>
          <w:sz w:val="32"/>
          <w:szCs w:val="32"/>
        </w:rPr>
        <w:t>万元。</w:t>
      </w:r>
    </w:p>
    <w:p>
      <w:pPr>
        <w:spacing w:line="288" w:lineRule="auto"/>
        <w:ind w:right="-50" w:rightChars="-24" w:firstLine="640" w:firstLineChars="200"/>
        <w:rPr>
          <w:rFonts w:asciiTheme="majorEastAsia" w:hAnsiTheme="majorEastAsia" w:eastAsiaTheme="majorEastAsia"/>
          <w:sz w:val="32"/>
          <w:szCs w:val="32"/>
        </w:rPr>
      </w:pPr>
      <w:r>
        <w:rPr>
          <w:rFonts w:hint="eastAsia" w:asciiTheme="majorEastAsia" w:hAnsiTheme="majorEastAsia" w:eastAsiaTheme="majorEastAsia"/>
          <w:sz w:val="32"/>
          <w:szCs w:val="32"/>
        </w:rPr>
        <w:t>（如有大额收入等需要特别说明的事项可在此一并说明，此括号内容公开时删去。）</w:t>
      </w:r>
    </w:p>
    <w:p>
      <w:pPr>
        <w:spacing w:line="288" w:lineRule="auto"/>
        <w:ind w:right="-50" w:rightChars="-24"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（二）支出情况说明</w:t>
      </w:r>
    </w:p>
    <w:p>
      <w:pPr>
        <w:spacing w:line="580" w:lineRule="exact"/>
        <w:ind w:left="-185" w:leftChars="-88" w:right="-315" w:rightChars="-150" w:firstLine="640"/>
        <w:rPr>
          <w:rFonts w:hint="eastAsia" w:asciiTheme="majorEastAsia" w:hAnsiTheme="majorEastAsia" w:eastAsiaTheme="majorEastAsia"/>
          <w:sz w:val="32"/>
          <w:szCs w:val="32"/>
        </w:rPr>
      </w:pPr>
      <w:r>
        <w:rPr>
          <w:rFonts w:hint="eastAsia" w:asciiTheme="majorEastAsia" w:hAnsiTheme="majorEastAsia" w:eastAsiaTheme="majorEastAsia"/>
          <w:sz w:val="32"/>
          <w:szCs w:val="32"/>
        </w:rPr>
        <w:t>2015年支出决算 1212.46</w:t>
      </w:r>
      <w:r>
        <w:rPr>
          <w:rFonts w:hint="eastAsia" w:asciiTheme="majorEastAsia" w:hAnsiTheme="majorEastAsia" w:eastAsiaTheme="majorEastAsia"/>
          <w:sz w:val="32"/>
          <w:szCs w:val="32"/>
        </w:rPr>
        <w:t xml:space="preserve"> 万元，比2014年决算数减少 659.96 </w:t>
      </w:r>
      <w:r>
        <w:rPr>
          <w:rFonts w:hint="eastAsia" w:asciiTheme="majorEastAsia" w:hAnsiTheme="majorEastAsia" w:eastAsiaTheme="majorEastAsia"/>
          <w:sz w:val="32"/>
          <w:szCs w:val="32"/>
        </w:rPr>
        <w:t xml:space="preserve"> 万元，原因是我校汇翠校区独立办学，教师和学生人数减少，财政拨款支出相应减少</w:t>
      </w:r>
      <w:r>
        <w:rPr>
          <w:rFonts w:hint="eastAsia" w:asciiTheme="majorEastAsia" w:hAnsiTheme="majorEastAsia" w:eastAsiaTheme="majorEastAsia"/>
          <w:sz w:val="32"/>
          <w:szCs w:val="32"/>
        </w:rPr>
        <w:t xml:space="preserve">。其中：财政拨款支出 </w:t>
      </w:r>
      <w:bookmarkStart w:id="0" w:name="OLE_LINK1"/>
      <w:r>
        <w:rPr>
          <w:rFonts w:hint="eastAsia" w:asciiTheme="majorEastAsia" w:hAnsiTheme="majorEastAsia" w:eastAsiaTheme="majorEastAsia"/>
          <w:sz w:val="32"/>
          <w:szCs w:val="32"/>
        </w:rPr>
        <w:t>1203.31</w:t>
      </w:r>
      <w:bookmarkEnd w:id="0"/>
      <w:r>
        <w:rPr>
          <w:rFonts w:hint="eastAsia" w:asciiTheme="majorEastAsia" w:hAnsiTheme="majorEastAsia" w:eastAsiaTheme="majorEastAsia"/>
          <w:sz w:val="32"/>
          <w:szCs w:val="32"/>
        </w:rPr>
        <w:t xml:space="preserve"> 万元，比2015年预算数增加463.78 </w:t>
      </w:r>
      <w:r>
        <w:rPr>
          <w:rFonts w:hint="eastAsia" w:asciiTheme="majorEastAsia" w:hAnsiTheme="majorEastAsia" w:eastAsiaTheme="majorEastAsia"/>
          <w:sz w:val="32"/>
          <w:szCs w:val="32"/>
        </w:rPr>
        <w:t xml:space="preserve"> 万元，原因是提高教师工资待遇和专项配套资金的拨款</w:t>
      </w:r>
      <w:r>
        <w:rPr>
          <w:rFonts w:hint="eastAsia" w:asciiTheme="majorEastAsia" w:hAnsiTheme="majorEastAsia" w:eastAsiaTheme="majorEastAsia"/>
          <w:sz w:val="32"/>
          <w:szCs w:val="32"/>
        </w:rPr>
        <w:t>。</w:t>
      </w:r>
    </w:p>
    <w:p>
      <w:pPr>
        <w:spacing w:line="580" w:lineRule="exact"/>
        <w:ind w:left="-185" w:leftChars="-88" w:right="-315" w:rightChars="-150" w:firstLine="640"/>
        <w:rPr>
          <w:rFonts w:hint="eastAsia" w:asciiTheme="majorEastAsia" w:hAnsiTheme="majorEastAsia" w:eastAsiaTheme="majorEastAsia"/>
          <w:sz w:val="32"/>
          <w:szCs w:val="32"/>
        </w:rPr>
      </w:pPr>
      <w:r>
        <w:rPr>
          <w:rFonts w:hint="eastAsia" w:asciiTheme="majorEastAsia" w:hAnsiTheme="majorEastAsia" w:eastAsiaTheme="majorEastAsia"/>
          <w:sz w:val="32"/>
          <w:szCs w:val="32"/>
        </w:rPr>
        <w:t>2015年财政拨款支出按用途划分，基本支出  973.87</w:t>
      </w:r>
      <w:r>
        <w:rPr>
          <w:rFonts w:hint="eastAsia" w:asciiTheme="majorEastAsia" w:hAnsiTheme="majorEastAsia" w:eastAsiaTheme="majorEastAsia"/>
          <w:sz w:val="32"/>
          <w:szCs w:val="32"/>
        </w:rPr>
        <w:t xml:space="preserve"> 万元，占 80.9</w:t>
      </w:r>
      <w:r>
        <w:rPr>
          <w:rFonts w:hint="eastAsia" w:asciiTheme="majorEastAsia" w:hAnsiTheme="majorEastAsia" w:eastAsiaTheme="majorEastAsia"/>
          <w:sz w:val="32"/>
          <w:szCs w:val="32"/>
        </w:rPr>
        <w:t xml:space="preserve"> %，其中：工资福利支出  665.51</w:t>
      </w:r>
      <w:r>
        <w:rPr>
          <w:rFonts w:hint="eastAsia" w:asciiTheme="majorEastAsia" w:hAnsiTheme="majorEastAsia" w:eastAsiaTheme="majorEastAsia"/>
          <w:sz w:val="32"/>
          <w:szCs w:val="32"/>
        </w:rPr>
        <w:t xml:space="preserve"> 万元，对个人和家庭的补助 292.68</w:t>
      </w:r>
      <w:r>
        <w:rPr>
          <w:rFonts w:hint="eastAsia" w:asciiTheme="majorEastAsia" w:hAnsiTheme="majorEastAsia" w:eastAsiaTheme="majorEastAsia"/>
          <w:sz w:val="32"/>
          <w:szCs w:val="32"/>
        </w:rPr>
        <w:t xml:space="preserve">  万元，商品和服务支出  15.67</w:t>
      </w:r>
      <w:r>
        <w:rPr>
          <w:rFonts w:hint="eastAsia" w:asciiTheme="majorEastAsia" w:hAnsiTheme="majorEastAsia" w:eastAsiaTheme="majorEastAsia"/>
          <w:sz w:val="32"/>
          <w:szCs w:val="32"/>
        </w:rPr>
        <w:t xml:space="preserve"> 万元，其他资本性支出等支出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万元；项目支出决算 </w:t>
      </w:r>
      <w:r>
        <w:rPr>
          <w:rFonts w:hint="eastAsia" w:asciiTheme="majorEastAsia" w:hAnsiTheme="majorEastAsia" w:eastAsiaTheme="majorEastAsia"/>
          <w:sz w:val="32"/>
          <w:szCs w:val="32"/>
          <w:lang w:val="en-US" w:eastAsia="zh-CN"/>
        </w:rPr>
        <w:t>238.59</w:t>
      </w:r>
      <w:r>
        <w:rPr>
          <w:rFonts w:hint="eastAsia" w:asciiTheme="majorEastAsia" w:hAnsiTheme="majorEastAsia" w:eastAsiaTheme="majorEastAsia"/>
          <w:sz w:val="32"/>
          <w:szCs w:val="32"/>
        </w:rPr>
        <w:t xml:space="preserve">  万元，占 19.1 </w:t>
      </w:r>
      <w:r>
        <w:rPr>
          <w:rFonts w:hint="eastAsia" w:asciiTheme="majorEastAsia" w:hAnsiTheme="majorEastAsia" w:eastAsiaTheme="majorEastAsia"/>
          <w:sz w:val="32"/>
          <w:szCs w:val="32"/>
        </w:rPr>
        <w:t xml:space="preserve"> %，主要支出项目有</w:t>
      </w:r>
      <w:r>
        <w:rPr>
          <w:rFonts w:hint="eastAsia" w:asciiTheme="majorEastAsia" w:hAnsiTheme="majorEastAsia" w:eastAsiaTheme="majorEastAsia"/>
          <w:sz w:val="32"/>
          <w:szCs w:val="32"/>
          <w:lang w:eastAsia="zh-CN"/>
        </w:rPr>
        <w:t>商品和服务支出</w:t>
      </w:r>
      <w:r>
        <w:rPr>
          <w:rFonts w:hint="eastAsia" w:asciiTheme="majorEastAsia" w:hAnsiTheme="majorEastAsia" w:eastAsiaTheme="majorEastAsia"/>
          <w:sz w:val="32"/>
          <w:szCs w:val="32"/>
          <w:lang w:val="en-US" w:eastAsia="zh-CN"/>
        </w:rPr>
        <w:t>205.72</w:t>
      </w:r>
      <w:r>
        <w:rPr>
          <w:rFonts w:hint="eastAsia" w:asciiTheme="majorEastAsia" w:hAnsiTheme="majorEastAsia" w:eastAsiaTheme="majorEastAsia"/>
          <w:sz w:val="32"/>
          <w:szCs w:val="32"/>
        </w:rPr>
        <w:t>万元</w:t>
      </w:r>
      <w:r>
        <w:rPr>
          <w:rFonts w:hint="eastAsia" w:asciiTheme="majorEastAsia" w:hAnsiTheme="majorEastAsia" w:eastAsiaTheme="majorEastAsia"/>
          <w:sz w:val="32"/>
          <w:szCs w:val="32"/>
          <w:lang w:eastAsia="zh-CN"/>
        </w:rPr>
        <w:t>，</w:t>
      </w:r>
      <w:r>
        <w:rPr>
          <w:rFonts w:hint="eastAsia" w:asciiTheme="majorEastAsia" w:hAnsiTheme="majorEastAsia" w:eastAsiaTheme="majorEastAsia"/>
          <w:sz w:val="32"/>
          <w:szCs w:val="32"/>
        </w:rPr>
        <w:t xml:space="preserve">对个人和家庭的补助 </w:t>
      </w:r>
      <w:r>
        <w:rPr>
          <w:rFonts w:hint="eastAsia" w:asciiTheme="majorEastAsia" w:hAnsiTheme="majorEastAsia" w:eastAsiaTheme="majorEastAsia"/>
          <w:sz w:val="32"/>
          <w:szCs w:val="32"/>
          <w:lang w:val="en-US" w:eastAsia="zh-CN"/>
        </w:rPr>
        <w:t>3.46</w:t>
      </w:r>
      <w:r>
        <w:rPr>
          <w:rFonts w:hint="eastAsia" w:asciiTheme="majorEastAsia" w:hAnsiTheme="majorEastAsia" w:eastAsiaTheme="majorEastAsia"/>
          <w:sz w:val="32"/>
          <w:szCs w:val="32"/>
        </w:rPr>
        <w:t xml:space="preserve">  万元</w:t>
      </w:r>
      <w:r>
        <w:rPr>
          <w:rFonts w:hint="eastAsia" w:asciiTheme="majorEastAsia" w:hAnsiTheme="majorEastAsia" w:eastAsiaTheme="majorEastAsia"/>
          <w:sz w:val="32"/>
          <w:szCs w:val="32"/>
          <w:lang w:eastAsia="zh-CN"/>
        </w:rPr>
        <w:t>，其他资本性支出</w:t>
      </w:r>
      <w:r>
        <w:rPr>
          <w:rFonts w:hint="eastAsia" w:asciiTheme="majorEastAsia" w:hAnsiTheme="majorEastAsia" w:eastAsiaTheme="majorEastAsia"/>
          <w:sz w:val="32"/>
          <w:szCs w:val="32"/>
          <w:lang w:val="en-US" w:eastAsia="zh-CN"/>
        </w:rPr>
        <w:t>29.42</w:t>
      </w:r>
      <w:r>
        <w:rPr>
          <w:rFonts w:hint="eastAsia" w:asciiTheme="majorEastAsia" w:hAnsiTheme="majorEastAsia" w:eastAsiaTheme="majorEastAsia"/>
          <w:sz w:val="32"/>
          <w:szCs w:val="32"/>
        </w:rPr>
        <w:t>万元。</w:t>
      </w:r>
    </w:p>
    <w:p>
      <w:pPr>
        <w:spacing w:line="580" w:lineRule="exact"/>
        <w:ind w:left="-185" w:leftChars="-88" w:right="-315" w:rightChars="-150" w:firstLine="640"/>
        <w:rPr>
          <w:rFonts w:hint="eastAsia" w:asciiTheme="majorEastAsia" w:hAnsiTheme="majorEastAsia" w:eastAsiaTheme="majorEastAsia"/>
          <w:sz w:val="32"/>
          <w:szCs w:val="32"/>
        </w:rPr>
      </w:pPr>
      <w:r>
        <w:rPr>
          <w:rFonts w:hint="eastAsia" w:asciiTheme="majorEastAsia" w:hAnsiTheme="majorEastAsia" w:eastAsiaTheme="majorEastAsia"/>
          <w:sz w:val="32"/>
          <w:szCs w:val="32"/>
        </w:rPr>
        <w:t>（如有大额支出等需要特别说明的事项可在此一并说明，此括号内容公开时删去。）</w:t>
      </w:r>
    </w:p>
    <w:p>
      <w:pPr>
        <w:spacing w:line="580" w:lineRule="exact"/>
        <w:ind w:right="-315" w:rightChars="-150"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（三）“三公”经费支出说明</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2015年“三公”经费财政拨款支出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万元，比2014年决算数增加(或减少)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万元，比2015年预算数增加(或减少)</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万元，原因是</w:t>
      </w:r>
      <w:r>
        <w:rPr>
          <w:rFonts w:hint="eastAsia" w:asciiTheme="majorEastAsia" w:hAnsiTheme="majorEastAsia" w:eastAsiaTheme="majorEastAsia"/>
          <w:b/>
          <w:sz w:val="32"/>
          <w:szCs w:val="32"/>
        </w:rPr>
        <w:t>“三公”经费支出</w:t>
      </w:r>
      <w:r>
        <w:rPr>
          <w:rFonts w:hint="eastAsia" w:asciiTheme="majorEastAsia" w:hAnsiTheme="majorEastAsia" w:eastAsiaTheme="majorEastAsia"/>
          <w:sz w:val="32"/>
          <w:szCs w:val="32"/>
        </w:rPr>
        <w:t>。具体情况如下：</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1.全年使用财政拨款安排本级、所属xx单位出国团组数为</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个、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人次，因公出国（境）费支出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万元，比2014年决算数增加(或减少)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万元，比2015年预算数增加(或减少)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万元，原因是</w:t>
      </w:r>
      <w:r>
        <w:rPr>
          <w:rFonts w:asciiTheme="majorEastAsia" w:hAnsiTheme="majorEastAsia" w:eastAsiaTheme="majorEastAsia"/>
          <w:sz w:val="32"/>
          <w:szCs w:val="32"/>
        </w:rPr>
        <w:t>……</w:t>
      </w:r>
      <w:r>
        <w:rPr>
          <w:rFonts w:hint="eastAsia" w:asciiTheme="majorEastAsia" w:hAnsiTheme="majorEastAsia" w:eastAsiaTheme="majorEastAsia"/>
          <w:sz w:val="32"/>
          <w:szCs w:val="32"/>
        </w:rPr>
        <w:t xml:space="preserve">。开支内容包括：（1）参加会议支出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万元，主要用于……；（2）出国谈判、工作磋商支出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万元，主要用于……；（3）境外业务培训及考察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万元，主要用于……。</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2.公务用车购置及运行维护费支出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万元，比2014年决算数增加(或减少)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万元，比2015年预算数增加(或减少)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万元，原因是</w:t>
      </w:r>
      <w:r>
        <w:rPr>
          <w:rFonts w:asciiTheme="majorEastAsia" w:hAnsiTheme="majorEastAsia" w:eastAsiaTheme="majorEastAsia"/>
          <w:sz w:val="32"/>
          <w:szCs w:val="32"/>
        </w:rPr>
        <w:t>……</w:t>
      </w:r>
      <w:r>
        <w:rPr>
          <w:rFonts w:hint="eastAsia" w:asciiTheme="majorEastAsia" w:hAnsiTheme="majorEastAsia" w:eastAsiaTheme="majorEastAsia"/>
          <w:sz w:val="32"/>
          <w:szCs w:val="32"/>
        </w:rPr>
        <w:t xml:space="preserve">。主要包括：（1）报废辆、更新购置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辆，购置费支出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万元，平均每辆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万元；（2）公务车保有量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辆，全年运行维护费支出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万元，平均每辆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3.公务接待批次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批，人数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人，公务接待费支出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万元，比2014年决算数增加(或减少)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万元，比2015年预算数增加(或减少)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万元，原因是</w:t>
      </w:r>
      <w:r>
        <w:rPr>
          <w:rFonts w:asciiTheme="majorEastAsia" w:hAnsiTheme="majorEastAsia" w:eastAsiaTheme="majorEastAsia"/>
          <w:sz w:val="32"/>
          <w:szCs w:val="32"/>
        </w:rPr>
        <w:t>……</w:t>
      </w:r>
      <w:r>
        <w:rPr>
          <w:rFonts w:hint="eastAsia" w:asciiTheme="majorEastAsia" w:hAnsiTheme="majorEastAsia" w:eastAsiaTheme="majorEastAsia"/>
          <w:sz w:val="32"/>
          <w:szCs w:val="32"/>
        </w:rPr>
        <w:t>。主要用于……。</w:t>
      </w:r>
    </w:p>
    <w:p>
      <w:pPr>
        <w:spacing w:line="580" w:lineRule="exact"/>
        <w:ind w:left="-185" w:leftChars="-88" w:right="-315" w:rightChars="-150" w:firstLine="643"/>
        <w:rPr>
          <w:rFonts w:asciiTheme="majorEastAsia" w:hAnsiTheme="majorEastAsia" w:eastAsiaTheme="majorEastAsia"/>
          <w:sz w:val="32"/>
          <w:szCs w:val="32"/>
        </w:rPr>
      </w:pPr>
      <w:r>
        <w:rPr>
          <w:rFonts w:hint="eastAsia" w:asciiTheme="majorEastAsia" w:hAnsiTheme="majorEastAsia" w:eastAsiaTheme="majorEastAsia"/>
          <w:b/>
          <w:sz w:val="32"/>
          <w:szCs w:val="32"/>
        </w:rPr>
        <w:t>（四）机关运行经费支出说明</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2015年本部门（单位）机关运行经费支出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万元，比2014年增加(或减少)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万元，增长(或降低)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%。主要原因是……。</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（机关运行经费支出与部门决算中一般公共预算财政拨款基本支出中公用经费之和保持一致，口径应在专业名词解释中予以说明。此括号内容公开时删去。）</w:t>
      </w:r>
    </w:p>
    <w:p>
      <w:pPr>
        <w:spacing w:line="580" w:lineRule="exact"/>
        <w:ind w:left="-185" w:leftChars="-88" w:right="-315" w:rightChars="-150" w:firstLine="643"/>
        <w:rPr>
          <w:rFonts w:asciiTheme="majorEastAsia" w:hAnsiTheme="majorEastAsia" w:eastAsiaTheme="majorEastAsia"/>
          <w:sz w:val="32"/>
          <w:szCs w:val="32"/>
        </w:rPr>
      </w:pPr>
      <w:r>
        <w:rPr>
          <w:rFonts w:hint="eastAsia" w:asciiTheme="majorEastAsia" w:hAnsiTheme="majorEastAsia" w:eastAsiaTheme="majorEastAsia"/>
          <w:b/>
          <w:sz w:val="32"/>
          <w:szCs w:val="32"/>
        </w:rPr>
        <w:t>（五）政府采购支出说明</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2015年本部门（单位）政府采购支出总额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万元，其中：政府采购货物支出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万元、政府采购工程支出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万元、政府采购服务支出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万元。授予中小企业合同金额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万元，占政府采购支出总额的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%，其中：授予小微企业合同金额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万元，占政府采购支出总额的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(政府采购金额的计算口径为：2015年本部门（单位）纳入部门预算范围的各项政府采购支出金额之和，并做好与2015年政府采购信息统计报表中“政府采购资金情况表”有关数据的衔接。此括号内容公开时删去）</w:t>
      </w:r>
    </w:p>
    <w:p>
      <w:pPr>
        <w:spacing w:line="580" w:lineRule="exact"/>
        <w:ind w:left="-185" w:leftChars="-88" w:right="-315" w:rightChars="-150" w:firstLine="643"/>
        <w:rPr>
          <w:rFonts w:asciiTheme="majorEastAsia" w:hAnsiTheme="majorEastAsia" w:eastAsiaTheme="majorEastAsia"/>
          <w:sz w:val="32"/>
          <w:szCs w:val="32"/>
        </w:rPr>
      </w:pPr>
      <w:r>
        <w:rPr>
          <w:rFonts w:hint="eastAsia" w:asciiTheme="majorEastAsia" w:hAnsiTheme="majorEastAsia" w:eastAsiaTheme="majorEastAsia"/>
          <w:b/>
          <w:sz w:val="32"/>
          <w:szCs w:val="32"/>
        </w:rPr>
        <w:t>（六）国有资产占用情况说明</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截至2015年12月31日，本部门（单位）共有车辆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辆，其中，副处（区）级及以上领导用车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辆、一般公务用车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辆、一般执法执勤用车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辆、特种专业技术用车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辆、其他用车</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辆，其他用车主要是……；单位价值200万元以上大型设备 </w:t>
      </w:r>
      <w:r>
        <w:rPr>
          <w:rFonts w:hint="eastAsia" w:asciiTheme="majorEastAsia" w:hAnsiTheme="majorEastAsia" w:eastAsiaTheme="majorEastAsia"/>
          <w:sz w:val="32"/>
          <w:szCs w:val="32"/>
          <w:lang w:val="en-US" w:eastAsia="zh-CN"/>
        </w:rPr>
        <w:t>0</w:t>
      </w:r>
      <w:r>
        <w:rPr>
          <w:rFonts w:hint="eastAsia" w:asciiTheme="majorEastAsia" w:hAnsiTheme="majorEastAsia" w:eastAsiaTheme="majorEastAsia"/>
          <w:sz w:val="32"/>
          <w:szCs w:val="32"/>
        </w:rPr>
        <w:t xml:space="preserve"> 台（套）。</w:t>
      </w:r>
    </w:p>
    <w:p>
      <w:pPr>
        <w:tabs>
          <w:tab w:val="left" w:pos="6840"/>
        </w:tabs>
        <w:spacing w:line="580" w:lineRule="exact"/>
        <w:ind w:left="-185" w:leftChars="-88" w:right="-315" w:rightChars="-150" w:firstLine="643"/>
        <w:rPr>
          <w:rFonts w:asciiTheme="majorEastAsia" w:hAnsiTheme="majorEastAsia" w:eastAsiaTheme="majorEastAsia"/>
          <w:b/>
          <w:sz w:val="32"/>
          <w:szCs w:val="32"/>
        </w:rPr>
      </w:pPr>
      <w:r>
        <w:rPr>
          <w:rFonts w:hint="eastAsia" w:asciiTheme="majorEastAsia" w:hAnsiTheme="majorEastAsia" w:eastAsiaTheme="majorEastAsia"/>
          <w:b/>
          <w:sz w:val="32"/>
          <w:szCs w:val="32"/>
        </w:rPr>
        <w:t>（七）预算绩效管理工作开展情况说明</w:t>
      </w:r>
      <w:r>
        <w:rPr>
          <w:rFonts w:asciiTheme="majorEastAsia" w:hAnsiTheme="majorEastAsia" w:eastAsiaTheme="majorEastAsia"/>
          <w:b/>
          <w:sz w:val="32"/>
          <w:szCs w:val="32"/>
        </w:rPr>
        <w:tab/>
      </w:r>
    </w:p>
    <w:p>
      <w:pPr>
        <w:spacing w:line="580" w:lineRule="exact"/>
        <w:ind w:left="-185" w:leftChars="-88" w:right="-315" w:rightChars="-150" w:firstLine="640"/>
        <w:rPr>
          <w:rFonts w:hint="eastAsia" w:asciiTheme="majorEastAsia" w:hAnsiTheme="majorEastAsia" w:eastAsiaTheme="majorEastAsia"/>
          <w:sz w:val="32"/>
          <w:szCs w:val="32"/>
        </w:rPr>
      </w:pPr>
      <w:r>
        <w:rPr>
          <w:rFonts w:hint="eastAsia" w:asciiTheme="majorEastAsia" w:hAnsiTheme="majorEastAsia" w:eastAsiaTheme="majorEastAsia"/>
          <w:sz w:val="32"/>
          <w:szCs w:val="32"/>
        </w:rPr>
        <w:t>主要民生项目包括：免费义务教育公用经费补助。</w:t>
      </w:r>
    </w:p>
    <w:p>
      <w:pPr>
        <w:spacing w:line="580" w:lineRule="exact"/>
        <w:ind w:left="-185" w:leftChars="-88" w:right="-315" w:rightChars="-150" w:firstLine="640"/>
        <w:rPr>
          <w:rFonts w:hint="eastAsia" w:asciiTheme="majorEastAsia" w:hAnsiTheme="majorEastAsia" w:eastAsiaTheme="majorEastAsia"/>
          <w:sz w:val="32"/>
          <w:szCs w:val="32"/>
        </w:rPr>
      </w:pPr>
      <w:r>
        <w:rPr>
          <w:rFonts w:hint="eastAsia" w:asciiTheme="majorEastAsia" w:hAnsiTheme="majorEastAsia" w:eastAsiaTheme="majorEastAsia"/>
          <w:sz w:val="32"/>
          <w:szCs w:val="32"/>
        </w:rPr>
        <w:t>绩效评价结果：免费义务教育公用经费补助资金到位及时，补充了学校日常办学经费，改善了学校办学条件，深受师生好评，取得良好社会效益；普通高中国家助学金帮助家庭经济困难学生顺利完成高中学业，切实促进教育公平，促进社会和谐，维护社会稳定。</w:t>
      </w:r>
    </w:p>
    <w:p>
      <w:pPr>
        <w:snapToGrid w:val="0"/>
        <w:spacing w:line="348" w:lineRule="auto"/>
        <w:ind w:left="-141" w:leftChars="-67" w:right="-59" w:rightChars="-28" w:firstLine="602"/>
        <w:rPr>
          <w:rFonts w:asciiTheme="majorEastAsia" w:hAnsiTheme="majorEastAsia" w:eastAsiaTheme="majorEastAsia"/>
          <w:sz w:val="32"/>
          <w:szCs w:val="32"/>
        </w:rPr>
      </w:pPr>
    </w:p>
    <w:p>
      <w:pPr>
        <w:spacing w:line="580" w:lineRule="exact"/>
        <w:ind w:right="-315" w:rightChars="-150" w:firstLine="630" w:firstLineChars="196"/>
        <w:rPr>
          <w:rFonts w:asciiTheme="majorEastAsia" w:hAnsiTheme="majorEastAsia" w:eastAsiaTheme="majorEastAsia"/>
          <w:b/>
          <w:sz w:val="32"/>
          <w:szCs w:val="32"/>
        </w:rPr>
      </w:pPr>
      <w:r>
        <w:rPr>
          <w:rFonts w:hint="eastAsia" w:asciiTheme="majorEastAsia" w:hAnsiTheme="majorEastAsia" w:eastAsiaTheme="majorEastAsia"/>
          <w:b/>
          <w:sz w:val="32"/>
          <w:szCs w:val="32"/>
        </w:rPr>
        <w:t>三、专业名词解释</w:t>
      </w:r>
    </w:p>
    <w:p>
      <w:pPr>
        <w:spacing w:line="580" w:lineRule="exact"/>
        <w:ind w:left="-185" w:leftChars="-88" w:right="-315" w:rightChars="-150" w:firstLine="640" w:firstLineChars="200"/>
        <w:rPr>
          <w:rFonts w:asciiTheme="majorEastAsia" w:hAnsiTheme="majorEastAsia" w:eastAsiaTheme="majorEastAsia"/>
          <w:sz w:val="32"/>
          <w:szCs w:val="32"/>
        </w:rPr>
      </w:pPr>
      <w:r>
        <w:rPr>
          <w:rFonts w:hint="eastAsia" w:asciiTheme="majorEastAsia" w:hAnsiTheme="majorEastAsia" w:eastAsiaTheme="majorEastAsia"/>
          <w:sz w:val="32"/>
          <w:szCs w:val="32"/>
        </w:rPr>
        <w:t>(各部门应当按照部门预算管理要求进行专业名词解释。如“三公经费支出口径</w:t>
      </w:r>
      <w:r>
        <w:rPr>
          <w:rFonts w:asciiTheme="majorEastAsia" w:hAnsiTheme="majorEastAsia" w:eastAsiaTheme="majorEastAsia"/>
          <w:sz w:val="32"/>
          <w:szCs w:val="32"/>
        </w:rPr>
        <w:t>”</w:t>
      </w:r>
      <w:r>
        <w:rPr>
          <w:rFonts w:hint="eastAsia" w:asciiTheme="majorEastAsia" w:hAnsiTheme="majorEastAsia" w:eastAsiaTheme="majorEastAsia"/>
          <w:sz w:val="32"/>
          <w:szCs w:val="32"/>
        </w:rPr>
        <w:t>、“机关运行经费支出”等名称解释，内容可增加。此括号内容公开时删去）</w:t>
      </w:r>
    </w:p>
    <w:p>
      <w:pPr>
        <w:spacing w:line="580" w:lineRule="exact"/>
        <w:ind w:left="-185" w:leftChars="-88" w:right="-315" w:rightChars="-150" w:firstLine="640" w:firstLineChars="200"/>
        <w:rPr>
          <w:rFonts w:asciiTheme="majorEastAsia" w:hAnsiTheme="majorEastAsia" w:eastAsiaTheme="majorEastAsia"/>
          <w:sz w:val="32"/>
          <w:szCs w:val="32"/>
        </w:rPr>
      </w:pPr>
      <w:r>
        <w:rPr>
          <w:rFonts w:hint="eastAsia" w:asciiTheme="majorEastAsia" w:hAnsiTheme="majorEastAsia" w:eastAsiaTheme="majorEastAsia"/>
          <w:sz w:val="32"/>
          <w:szCs w:val="32"/>
        </w:rPr>
        <w:t>财政拨款收入：是指一般公共预算和政府性基金的拨款；</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财政拨款支出：是指使用一般公共预算和政府性基金拨款的支出；</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机关运行经费支出：是指为保障机关运行，用于购买货物和服务的各项资金，包括……。</w:t>
      </w:r>
    </w:p>
    <w:p>
      <w:pPr>
        <w:spacing w:line="580" w:lineRule="exact"/>
        <w:ind w:left="-185" w:leftChars="-88" w:right="-315" w:rightChars="-150" w:firstLine="640"/>
        <w:rPr>
          <w:rFonts w:asciiTheme="majorEastAsia" w:hAnsiTheme="majorEastAsia" w:eastAsiaTheme="majorEastAsia"/>
          <w:sz w:val="32"/>
          <w:szCs w:val="32"/>
        </w:rPr>
      </w:pPr>
      <w:r>
        <w:rPr>
          <w:rFonts w:hint="eastAsia" w:asciiTheme="majorEastAsia" w:hAnsiTheme="majorEastAsia" w:eastAsiaTheme="majorEastAsia"/>
          <w:sz w:val="32"/>
          <w:szCs w:val="32"/>
        </w:rPr>
        <w:t>……</w:t>
      </w:r>
    </w:p>
    <w:p>
      <w:pPr>
        <w:rPr>
          <w:rFonts w:asciiTheme="majorEastAsia" w:hAnsiTheme="majorEastAsia" w:eastAsiaTheme="maj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58AE"/>
    <w:rsid w:val="00002554"/>
    <w:rsid w:val="00043F4D"/>
    <w:rsid w:val="00062240"/>
    <w:rsid w:val="00085847"/>
    <w:rsid w:val="00095340"/>
    <w:rsid w:val="000B476E"/>
    <w:rsid w:val="000B59AB"/>
    <w:rsid w:val="000C4FE3"/>
    <w:rsid w:val="000F4B70"/>
    <w:rsid w:val="001046B8"/>
    <w:rsid w:val="001525F7"/>
    <w:rsid w:val="0015372B"/>
    <w:rsid w:val="001577A8"/>
    <w:rsid w:val="0018091D"/>
    <w:rsid w:val="001A7928"/>
    <w:rsid w:val="001C40A2"/>
    <w:rsid w:val="001D33CF"/>
    <w:rsid w:val="001E3B29"/>
    <w:rsid w:val="001E6B84"/>
    <w:rsid w:val="0023075F"/>
    <w:rsid w:val="00237D77"/>
    <w:rsid w:val="00256EC5"/>
    <w:rsid w:val="00273534"/>
    <w:rsid w:val="00281EAE"/>
    <w:rsid w:val="00285AFB"/>
    <w:rsid w:val="002A1AA2"/>
    <w:rsid w:val="002A4BE1"/>
    <w:rsid w:val="002B0DD1"/>
    <w:rsid w:val="002B60C4"/>
    <w:rsid w:val="002C3E3E"/>
    <w:rsid w:val="002F49EC"/>
    <w:rsid w:val="0030236E"/>
    <w:rsid w:val="0030411C"/>
    <w:rsid w:val="0031124D"/>
    <w:rsid w:val="003277C1"/>
    <w:rsid w:val="0036763D"/>
    <w:rsid w:val="0038053D"/>
    <w:rsid w:val="003A1E3C"/>
    <w:rsid w:val="003C207F"/>
    <w:rsid w:val="003D0458"/>
    <w:rsid w:val="003D4970"/>
    <w:rsid w:val="003E15DA"/>
    <w:rsid w:val="004120A6"/>
    <w:rsid w:val="00430788"/>
    <w:rsid w:val="0045210E"/>
    <w:rsid w:val="00464FAF"/>
    <w:rsid w:val="004707B1"/>
    <w:rsid w:val="00472EA3"/>
    <w:rsid w:val="004C3337"/>
    <w:rsid w:val="004E44C2"/>
    <w:rsid w:val="004E4D49"/>
    <w:rsid w:val="004F58AE"/>
    <w:rsid w:val="00515311"/>
    <w:rsid w:val="0052024D"/>
    <w:rsid w:val="005272E9"/>
    <w:rsid w:val="005519AE"/>
    <w:rsid w:val="00552810"/>
    <w:rsid w:val="00597DA0"/>
    <w:rsid w:val="005A000F"/>
    <w:rsid w:val="005D7E7A"/>
    <w:rsid w:val="005F231C"/>
    <w:rsid w:val="00603A8C"/>
    <w:rsid w:val="00606CAF"/>
    <w:rsid w:val="00652A4C"/>
    <w:rsid w:val="006532CF"/>
    <w:rsid w:val="006540CD"/>
    <w:rsid w:val="0067233C"/>
    <w:rsid w:val="006914A2"/>
    <w:rsid w:val="006937F0"/>
    <w:rsid w:val="006A2EE7"/>
    <w:rsid w:val="006B1EB3"/>
    <w:rsid w:val="006B3393"/>
    <w:rsid w:val="006C1F8A"/>
    <w:rsid w:val="006C52EE"/>
    <w:rsid w:val="006E6D74"/>
    <w:rsid w:val="006F4C06"/>
    <w:rsid w:val="00700655"/>
    <w:rsid w:val="007346B1"/>
    <w:rsid w:val="00745EB7"/>
    <w:rsid w:val="0077530E"/>
    <w:rsid w:val="00780987"/>
    <w:rsid w:val="0078792A"/>
    <w:rsid w:val="00792635"/>
    <w:rsid w:val="007A0257"/>
    <w:rsid w:val="007A6E48"/>
    <w:rsid w:val="007C1C1B"/>
    <w:rsid w:val="00800D38"/>
    <w:rsid w:val="00843FA3"/>
    <w:rsid w:val="00845F81"/>
    <w:rsid w:val="00851EF1"/>
    <w:rsid w:val="008530D4"/>
    <w:rsid w:val="00862DAA"/>
    <w:rsid w:val="00864EC6"/>
    <w:rsid w:val="0087093A"/>
    <w:rsid w:val="008754F4"/>
    <w:rsid w:val="0087575B"/>
    <w:rsid w:val="00896AC0"/>
    <w:rsid w:val="008A0E01"/>
    <w:rsid w:val="008A378E"/>
    <w:rsid w:val="008A7979"/>
    <w:rsid w:val="008D221D"/>
    <w:rsid w:val="008D6FB8"/>
    <w:rsid w:val="008E0D97"/>
    <w:rsid w:val="008E56D2"/>
    <w:rsid w:val="00910BAD"/>
    <w:rsid w:val="00921033"/>
    <w:rsid w:val="009356B1"/>
    <w:rsid w:val="009415B3"/>
    <w:rsid w:val="00954D3C"/>
    <w:rsid w:val="00983DCA"/>
    <w:rsid w:val="009957AD"/>
    <w:rsid w:val="00997A29"/>
    <w:rsid w:val="009B658D"/>
    <w:rsid w:val="009F0D06"/>
    <w:rsid w:val="00A15853"/>
    <w:rsid w:val="00A24613"/>
    <w:rsid w:val="00A35E9A"/>
    <w:rsid w:val="00A53C47"/>
    <w:rsid w:val="00A76782"/>
    <w:rsid w:val="00A90ADA"/>
    <w:rsid w:val="00AA1118"/>
    <w:rsid w:val="00AA7808"/>
    <w:rsid w:val="00AA7FE9"/>
    <w:rsid w:val="00AF372C"/>
    <w:rsid w:val="00B51363"/>
    <w:rsid w:val="00B60A3E"/>
    <w:rsid w:val="00B8178A"/>
    <w:rsid w:val="00B870DF"/>
    <w:rsid w:val="00B91660"/>
    <w:rsid w:val="00B949F0"/>
    <w:rsid w:val="00B96C8B"/>
    <w:rsid w:val="00BA68C4"/>
    <w:rsid w:val="00BB07BC"/>
    <w:rsid w:val="00BB14DD"/>
    <w:rsid w:val="00BE2734"/>
    <w:rsid w:val="00BF703C"/>
    <w:rsid w:val="00C123C8"/>
    <w:rsid w:val="00C157D4"/>
    <w:rsid w:val="00C53D8A"/>
    <w:rsid w:val="00C558B2"/>
    <w:rsid w:val="00C63CC4"/>
    <w:rsid w:val="00C7747A"/>
    <w:rsid w:val="00C86E83"/>
    <w:rsid w:val="00C91CD5"/>
    <w:rsid w:val="00C969B7"/>
    <w:rsid w:val="00CC29E2"/>
    <w:rsid w:val="00D1427B"/>
    <w:rsid w:val="00D264A7"/>
    <w:rsid w:val="00D34DE3"/>
    <w:rsid w:val="00D42395"/>
    <w:rsid w:val="00D74CA8"/>
    <w:rsid w:val="00D753F3"/>
    <w:rsid w:val="00D80483"/>
    <w:rsid w:val="00DC6620"/>
    <w:rsid w:val="00DF052E"/>
    <w:rsid w:val="00E27208"/>
    <w:rsid w:val="00E77D53"/>
    <w:rsid w:val="00E9171A"/>
    <w:rsid w:val="00EA24C7"/>
    <w:rsid w:val="00EC7431"/>
    <w:rsid w:val="00EF13B7"/>
    <w:rsid w:val="00F01444"/>
    <w:rsid w:val="00F01799"/>
    <w:rsid w:val="00F036B3"/>
    <w:rsid w:val="00F05A20"/>
    <w:rsid w:val="00F578DC"/>
    <w:rsid w:val="00F7754C"/>
    <w:rsid w:val="00F8627F"/>
    <w:rsid w:val="00F95EE7"/>
    <w:rsid w:val="00F97939"/>
    <w:rsid w:val="00FA2034"/>
    <w:rsid w:val="00FA5B2E"/>
    <w:rsid w:val="00FB78A0"/>
    <w:rsid w:val="00FF60D7"/>
    <w:rsid w:val="18ED310B"/>
    <w:rsid w:val="2DF37D32"/>
    <w:rsid w:val="41F77C5F"/>
    <w:rsid w:val="517D512A"/>
    <w:rsid w:val="64393F1D"/>
    <w:rsid w:val="66E2053F"/>
    <w:rsid w:val="6B613CB2"/>
    <w:rsid w:val="7E672A4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308</Words>
  <Characters>1756</Characters>
  <Lines>14</Lines>
  <Paragraphs>4</Paragraphs>
  <ScaleCrop>false</ScaleCrop>
  <LinksUpToDate>false</LinksUpToDate>
  <CharactersWithSpaces>2060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2016-09-13T08:59:00Z</dcterms:created>
  <dc:creator>辛妙玲</dc:creator>
  <cp:lastModifiedBy>Administrator</cp:lastModifiedBy>
  <dcterms:modified xsi:type="dcterms:W3CDTF">2016-10-25T00:39:30Z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