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行政处罚案件处罚决定书（2018年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eastAsia="zh-CN"/>
        </w:rPr>
        <w:t>之五</w:t>
      </w:r>
      <w:r>
        <w:rPr>
          <w:rFonts w:hint="eastAsia"/>
        </w:rPr>
        <w:t>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广东太安堂药业股份有限公司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95010" cy="7747000"/>
            <wp:effectExtent l="0" t="0" r="15240" b="6350"/>
            <wp:docPr id="3" name="图片 3" descr="QQ图片2018052516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05251629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501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7664450" cy="5732780"/>
            <wp:effectExtent l="0" t="0" r="1270" b="12700"/>
            <wp:docPr id="2" name="图片 2" descr="QQ图片20180525162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5251629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64450" cy="57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7524750" cy="5628640"/>
            <wp:effectExtent l="0" t="0" r="10160" b="0"/>
            <wp:docPr id="1" name="图片 1" descr="QQ图片20180525162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5251629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24750" cy="562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6791D19"/>
    <w:rsid w:val="0E6F53F5"/>
    <w:rsid w:val="16FB789E"/>
    <w:rsid w:val="191477F7"/>
    <w:rsid w:val="25E96105"/>
    <w:rsid w:val="3EB84761"/>
    <w:rsid w:val="4E51194C"/>
    <w:rsid w:val="67BA06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dcterms:modified xsi:type="dcterms:W3CDTF">2018-05-25T08:31:34Z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