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986F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44"/>
          <w:sz w:val="44"/>
          <w:szCs w:val="44"/>
          <w:lang w:val="en-US" w:eastAsia="zh-CN" w:bidi="ar-SA"/>
        </w:rPr>
      </w:pPr>
      <w:r>
        <w:rPr>
          <w:rFonts w:hint="eastAsia" w:ascii="方正小标宋简体" w:hAnsi="方正小标宋简体" w:eastAsia="方正小标宋简体" w:cs="方正小标宋简体"/>
          <w:kern w:val="44"/>
          <w:sz w:val="44"/>
          <w:szCs w:val="4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-705485</wp:posOffset>
                </wp:positionV>
                <wp:extent cx="1095375" cy="457200"/>
                <wp:effectExtent l="0" t="0" r="9525" b="0"/>
                <wp:wrapNone/>
                <wp:docPr id="1" name="文本框 1"/>
                <wp:cNvGraphicFramePr/>
                <a:graphic xmlns:a="http://schemas.openxmlformats.org/drawingml/2006/main">
                  <a:graphicData uri="http://schemas.microsoft.com/office/word/2010/wordprocessingShape">
                    <wps:wsp>
                      <wps:cNvSpPr txBox="1"/>
                      <wps:spPr>
                        <a:xfrm>
                          <a:off x="931545" y="391795"/>
                          <a:ext cx="1095375"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E35A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55.55pt;height:36pt;width:86.25pt;z-index:251659264;mso-width-relative:page;mso-height-relative:page;" fillcolor="#FFFFFF [3201]" filled="t" stroked="f" coordsize="21600,21600" o:gfxdata="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qlHdbUAAAACgEA&#10;AA8AAAAAAAAAAQAgAAAAIgAAAGRycy9kb3ducmV2LnhtbFBLAQIUABQAAAAIAIdO4kCpVOvNVwIA&#10;AJkEAAAOAAAAAAAAAAEAIAAAACMBAABkcnMvZTJvRG9jLnhtbFBLBQYAAAAABgAGAFkBAADsBQAA&#10;AAA=&#10;">
                <v:fill on="t" focussize="0,0"/>
                <v:stroke on="f" weight="0.5pt"/>
                <v:imagedata o:title=""/>
                <o:lock v:ext="edit" aspectratio="f"/>
                <v:textbox>
                  <w:txbxContent>
                    <w:p w14:paraId="21E35A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附件2</w:t>
                      </w:r>
                    </w:p>
                  </w:txbxContent>
                </v:textbox>
              </v:shape>
            </w:pict>
          </mc:Fallback>
        </mc:AlternateContent>
      </w:r>
      <w:r>
        <w:rPr>
          <w:rFonts w:hint="eastAsia" w:ascii="方正小标宋简体" w:hAnsi="方正小标宋简体" w:eastAsia="方正小标宋简体" w:cs="方正小标宋简体"/>
          <w:kern w:val="44"/>
          <w:sz w:val="44"/>
          <w:szCs w:val="44"/>
          <w:lang w:val="en-US" w:eastAsia="zh-CN" w:bidi="ar-SA"/>
        </w:rPr>
        <w:t>金平区统计局2022年度普法责任清单</w:t>
      </w:r>
    </w:p>
    <w:p w14:paraId="174EE99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44"/>
          <w:sz w:val="44"/>
          <w:szCs w:val="44"/>
          <w:lang w:val="en-US" w:eastAsia="zh-CN" w:bidi="ar-SA"/>
        </w:rPr>
      </w:pPr>
    </w:p>
    <w:tbl>
      <w:tblPr>
        <w:tblStyle w:val="4"/>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615"/>
        <w:gridCol w:w="1005"/>
        <w:gridCol w:w="3825"/>
        <w:gridCol w:w="3180"/>
        <w:gridCol w:w="990"/>
        <w:gridCol w:w="1080"/>
      </w:tblGrid>
      <w:tr w14:paraId="53BB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40" w:type="dxa"/>
            <w:vAlign w:val="center"/>
          </w:tcPr>
          <w:p w14:paraId="3586492F">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615" w:type="dxa"/>
            <w:vAlign w:val="center"/>
          </w:tcPr>
          <w:p w14:paraId="6E44EC1E">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普法计划内容</w:t>
            </w:r>
          </w:p>
        </w:tc>
        <w:tc>
          <w:tcPr>
            <w:tcW w:w="1005" w:type="dxa"/>
            <w:vAlign w:val="center"/>
          </w:tcPr>
          <w:p w14:paraId="3A192540">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w:t>
            </w:r>
          </w:p>
          <w:p w14:paraId="3B17A5E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对象</w:t>
            </w:r>
          </w:p>
        </w:tc>
        <w:tc>
          <w:tcPr>
            <w:tcW w:w="3825" w:type="dxa"/>
            <w:vAlign w:val="center"/>
          </w:tcPr>
          <w:p w14:paraId="1BBD3F28">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普法目标</w:t>
            </w:r>
          </w:p>
        </w:tc>
        <w:tc>
          <w:tcPr>
            <w:tcW w:w="3180" w:type="dxa"/>
            <w:vAlign w:val="center"/>
          </w:tcPr>
          <w:p w14:paraId="6CC0DFA2">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具体措施</w:t>
            </w:r>
          </w:p>
        </w:tc>
        <w:tc>
          <w:tcPr>
            <w:tcW w:w="990" w:type="dxa"/>
            <w:vAlign w:val="center"/>
          </w:tcPr>
          <w:p w14:paraId="4B8D3D90">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4098EEE0">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领导</w:t>
            </w:r>
          </w:p>
        </w:tc>
        <w:tc>
          <w:tcPr>
            <w:tcW w:w="1080" w:type="dxa"/>
            <w:vAlign w:val="center"/>
          </w:tcPr>
          <w:p w14:paraId="0655E93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67309A6E">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部门</w:t>
            </w:r>
          </w:p>
        </w:tc>
      </w:tr>
      <w:tr w14:paraId="6C59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Merge w:val="restart"/>
            <w:vAlign w:val="center"/>
          </w:tcPr>
          <w:p w14:paraId="16565F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仿宋" w:hAnsi="仿宋" w:eastAsia="仿宋" w:cs="仿宋"/>
                <w:sz w:val="28"/>
                <w:szCs w:val="28"/>
                <w:vertAlign w:val="baseline"/>
                <w:lang w:val="en-US" w:eastAsia="zh-CN"/>
              </w:rPr>
              <w:t>一</w:t>
            </w:r>
          </w:p>
        </w:tc>
        <w:tc>
          <w:tcPr>
            <w:tcW w:w="3615" w:type="dxa"/>
          </w:tcPr>
          <w:p w14:paraId="0ABAFF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黑体" w:hAnsi="黑体" w:eastAsia="黑体" w:cs="黑体"/>
                <w:sz w:val="24"/>
                <w:szCs w:val="24"/>
                <w:vertAlign w:val="baseline"/>
                <w:lang w:val="en-US" w:eastAsia="zh-CN"/>
              </w:rPr>
              <w:t>习近平新时代中国特色社会主义思想和习近平法治思想</w:t>
            </w:r>
          </w:p>
        </w:tc>
        <w:tc>
          <w:tcPr>
            <w:tcW w:w="1005" w:type="dxa"/>
            <w:vMerge w:val="restart"/>
            <w:vAlign w:val="center"/>
          </w:tcPr>
          <w:p w14:paraId="02F17486">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局全体党员干</w:t>
            </w:r>
          </w:p>
          <w:p w14:paraId="2A6262A5">
            <w:pPr>
              <w:jc w:val="center"/>
              <w:rPr>
                <w:rFonts w:hint="eastAsia" w:ascii="方正楷体简体" w:hAnsi="方正楷体简体" w:eastAsia="方正楷体简体" w:cs="方正楷体简体"/>
                <w:sz w:val="24"/>
                <w:szCs w:val="24"/>
                <w:lang w:val="en-US" w:eastAsia="zh-CN"/>
              </w:rPr>
            </w:pPr>
            <w:r>
              <w:rPr>
                <w:rFonts w:hint="eastAsia" w:ascii="仿宋" w:hAnsi="仿宋" w:eastAsia="仿宋" w:cs="仿宋"/>
                <w:sz w:val="24"/>
                <w:szCs w:val="24"/>
                <w:vertAlign w:val="baseline"/>
                <w:lang w:val="en-US" w:eastAsia="zh-CN"/>
              </w:rPr>
              <w:t>部职工</w:t>
            </w:r>
          </w:p>
        </w:tc>
        <w:tc>
          <w:tcPr>
            <w:tcW w:w="3825" w:type="dxa"/>
            <w:vMerge w:val="restart"/>
            <w:vAlign w:val="center"/>
          </w:tcPr>
          <w:p w14:paraId="39794DC8">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1.全面推动统计法治机关建设，提高全局党员干部职工运用法治思维、法治方式处理问题的能力，促进依法统计、依法治统落到实处。</w:t>
            </w:r>
          </w:p>
          <w:p w14:paraId="2C9860F0">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2.凝聚统计工作合力，切实提高统计数据质量，提供高质量的统计服务。</w:t>
            </w:r>
          </w:p>
          <w:p w14:paraId="00A21C47">
            <w:pPr>
              <w:numPr>
                <w:ilvl w:val="0"/>
                <w:numId w:val="0"/>
              </w:numPr>
              <w:ind w:left="240" w:hanging="240" w:hangingChars="100"/>
              <w:jc w:val="left"/>
              <w:rPr>
                <w:rFonts w:hint="eastAsia" w:ascii="方正楷体简体" w:hAnsi="方正楷体简体" w:eastAsia="方正楷体简体" w:cs="方正楷体简体"/>
                <w:b w:val="0"/>
                <w:bCs w:val="0"/>
                <w:kern w:val="2"/>
                <w:sz w:val="24"/>
                <w:szCs w:val="24"/>
                <w:lang w:val="en-US" w:eastAsia="zh-CN" w:bidi="ar-SA"/>
              </w:rPr>
            </w:pPr>
            <w:r>
              <w:rPr>
                <w:rFonts w:hint="eastAsia" w:ascii="仿宋" w:hAnsi="仿宋" w:eastAsia="仿宋" w:cs="仿宋"/>
                <w:sz w:val="24"/>
                <w:szCs w:val="24"/>
                <w:vertAlign w:val="baseline"/>
                <w:lang w:val="en-US" w:eastAsia="zh-CN"/>
              </w:rPr>
              <w:t>3.不断增强“四个意识”、坚定“四个自信”、做到“</w:t>
            </w:r>
            <w:bookmarkStart w:id="0" w:name="_GoBack"/>
            <w:bookmarkEnd w:id="0"/>
            <w:r>
              <w:rPr>
                <w:rFonts w:hint="eastAsia" w:ascii="仿宋" w:hAnsi="仿宋" w:eastAsia="仿宋" w:cs="仿宋"/>
                <w:sz w:val="24"/>
                <w:szCs w:val="24"/>
                <w:vertAlign w:val="baseline"/>
                <w:lang w:val="en-US" w:eastAsia="zh-CN"/>
              </w:rPr>
              <w:t>两个维护”，为更好发挥统计工作在推动我区经济社会高质量发展提供坚强的统计保障。</w:t>
            </w:r>
          </w:p>
        </w:tc>
        <w:tc>
          <w:tcPr>
            <w:tcW w:w="3180" w:type="dxa"/>
            <w:vMerge w:val="restart"/>
            <w:vAlign w:val="center"/>
          </w:tcPr>
          <w:p w14:paraId="1A2549CA">
            <w:pPr>
              <w:numPr>
                <w:ilvl w:val="0"/>
                <w:numId w:val="0"/>
              </w:numPr>
              <w:jc w:val="left"/>
              <w:rPr>
                <w:rFonts w:hint="eastAsia" w:ascii="仿宋" w:hAnsi="仿宋" w:eastAsia="仿宋" w:cs="仿宋"/>
                <w:sz w:val="24"/>
                <w:szCs w:val="24"/>
                <w:vertAlign w:val="baseline"/>
                <w:lang w:val="en-US" w:eastAsia="zh-CN"/>
              </w:rPr>
            </w:pPr>
          </w:p>
          <w:p w14:paraId="7654137E">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1.通过党组会议、党组扩大会议、全局干部职工大会、党员大会、专题辅导会等形式学习。</w:t>
            </w:r>
          </w:p>
          <w:p w14:paraId="1270E07F">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2.党支部“三会一课”学习、主题党日及重大节日活动组织学习教育。</w:t>
            </w:r>
          </w:p>
          <w:p w14:paraId="751F2FC1">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3.组织局全体干部职工利用广东省干部网络学院、广东省国家工作人员学法考试平台、国家统计网络培训平台和“学习强国”平台进行学习。</w:t>
            </w:r>
          </w:p>
          <w:p w14:paraId="66DEA8CB">
            <w:pPr>
              <w:numPr>
                <w:ilvl w:val="0"/>
                <w:numId w:val="0"/>
              </w:numPr>
              <w:ind w:left="240" w:hanging="240" w:hangingChars="100"/>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4.组织干部职工到红色革命教育基地参观学习。</w:t>
            </w:r>
          </w:p>
        </w:tc>
        <w:tc>
          <w:tcPr>
            <w:tcW w:w="990" w:type="dxa"/>
            <w:vMerge w:val="restart"/>
            <w:vAlign w:val="center"/>
          </w:tcPr>
          <w:p w14:paraId="0D5EA8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吴淑绸肖逸翔</w:t>
            </w:r>
          </w:p>
        </w:tc>
        <w:tc>
          <w:tcPr>
            <w:tcW w:w="1080" w:type="dxa"/>
            <w:vMerge w:val="restart"/>
            <w:vAlign w:val="center"/>
          </w:tcPr>
          <w:p w14:paraId="7EB69E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办公室、法制教育股</w:t>
            </w:r>
          </w:p>
        </w:tc>
      </w:tr>
      <w:tr w14:paraId="1C11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2" w:hRule="atLeast"/>
        </w:trPr>
        <w:tc>
          <w:tcPr>
            <w:tcW w:w="540" w:type="dxa"/>
            <w:vMerge w:val="continue"/>
          </w:tcPr>
          <w:p w14:paraId="708C0B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615" w:type="dxa"/>
          </w:tcPr>
          <w:p w14:paraId="63B4DAF6">
            <w:pPr>
              <w:numPr>
                <w:ilvl w:val="0"/>
                <w:numId w:val="0"/>
              </w:numPr>
              <w:ind w:left="240" w:hanging="240" w:hanging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1.党的十九大精神、十九届二中、三中、四中、五中、六中全会精神、《习近平新时代中国特色社会主义思想学习纲要》，省委十二届十五次全会精神、市委十二届一次全会精神、区委五届一次全会精神等。</w:t>
            </w:r>
          </w:p>
          <w:p w14:paraId="3272008C">
            <w:pPr>
              <w:numPr>
                <w:ilvl w:val="0"/>
                <w:numId w:val="0"/>
              </w:numPr>
              <w:ind w:left="240" w:hanging="240" w:hangingChars="1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2.习近平法治思想、习近平总书记对广东工作和统计工作系列重要讲话和指示批示精神。</w:t>
            </w:r>
          </w:p>
          <w:p w14:paraId="7BE2E126">
            <w:pPr>
              <w:numPr>
                <w:ilvl w:val="0"/>
                <w:numId w:val="0"/>
              </w:numPr>
              <w:ind w:left="240" w:hanging="240" w:hangingChars="100"/>
              <w:rPr>
                <w:rFonts w:hint="eastAsia" w:ascii="方正黑体简体" w:hAnsi="方正黑体简体" w:eastAsia="方正黑体简体" w:cs="方正黑体简体"/>
                <w:kern w:val="2"/>
                <w:sz w:val="32"/>
                <w:szCs w:val="32"/>
                <w:lang w:val="en-US" w:eastAsia="zh-CN" w:bidi="ar-SA"/>
              </w:rPr>
            </w:pPr>
            <w:r>
              <w:rPr>
                <w:rFonts w:hint="eastAsia" w:ascii="仿宋" w:hAnsi="仿宋" w:eastAsia="仿宋" w:cs="仿宋"/>
                <w:sz w:val="24"/>
                <w:szCs w:val="24"/>
                <w:vertAlign w:val="baseline"/>
                <w:lang w:val="en-US" w:eastAsia="zh-CN"/>
              </w:rPr>
              <w:t>3.《习近平谈治国理政》，中央省、市、区有关深化改革系列文件、《防范和惩治统计造假、弄虚作假督察工作规定》等。</w:t>
            </w:r>
          </w:p>
        </w:tc>
        <w:tc>
          <w:tcPr>
            <w:tcW w:w="1005" w:type="dxa"/>
            <w:vMerge w:val="continue"/>
          </w:tcPr>
          <w:p w14:paraId="7060C97B">
            <w:pPr>
              <w:bidi w:val="0"/>
              <w:adjustRightInd w:val="0"/>
              <w:ind w:firstLine="640" w:firstLineChars="200"/>
              <w:rPr>
                <w:rFonts w:hint="eastAsia" w:ascii="方正仿宋简体" w:hAnsi="方正仿宋简体" w:eastAsia="方正仿宋简体" w:cs="方正仿宋简体"/>
                <w:sz w:val="32"/>
                <w:szCs w:val="32"/>
                <w:lang w:val="en-US" w:eastAsia="zh-CN"/>
              </w:rPr>
            </w:pPr>
          </w:p>
        </w:tc>
        <w:tc>
          <w:tcPr>
            <w:tcW w:w="3825" w:type="dxa"/>
            <w:vMerge w:val="continue"/>
          </w:tcPr>
          <w:p w14:paraId="1F5AFB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180" w:type="dxa"/>
            <w:vMerge w:val="continue"/>
          </w:tcPr>
          <w:p w14:paraId="5CFC7F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990" w:type="dxa"/>
            <w:vMerge w:val="continue"/>
          </w:tcPr>
          <w:p w14:paraId="5581C8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1080" w:type="dxa"/>
            <w:vMerge w:val="continue"/>
          </w:tcPr>
          <w:p w14:paraId="31EA75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r>
      <w:tr w14:paraId="06A4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0" w:type="dxa"/>
            <w:vAlign w:val="center"/>
          </w:tcPr>
          <w:p w14:paraId="5196CE0F">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615" w:type="dxa"/>
            <w:vAlign w:val="center"/>
          </w:tcPr>
          <w:p w14:paraId="122EDCB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普法计划内容</w:t>
            </w:r>
          </w:p>
        </w:tc>
        <w:tc>
          <w:tcPr>
            <w:tcW w:w="1005" w:type="dxa"/>
            <w:vAlign w:val="center"/>
          </w:tcPr>
          <w:p w14:paraId="068FE92C">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w:t>
            </w:r>
          </w:p>
          <w:p w14:paraId="4DAD8BA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对象</w:t>
            </w:r>
          </w:p>
        </w:tc>
        <w:tc>
          <w:tcPr>
            <w:tcW w:w="3825" w:type="dxa"/>
            <w:vAlign w:val="center"/>
          </w:tcPr>
          <w:p w14:paraId="62C0F4F7">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普法目标</w:t>
            </w:r>
          </w:p>
        </w:tc>
        <w:tc>
          <w:tcPr>
            <w:tcW w:w="3180" w:type="dxa"/>
            <w:vAlign w:val="center"/>
          </w:tcPr>
          <w:p w14:paraId="148CC0BB">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具体措施</w:t>
            </w:r>
          </w:p>
        </w:tc>
        <w:tc>
          <w:tcPr>
            <w:tcW w:w="990" w:type="dxa"/>
            <w:vAlign w:val="center"/>
          </w:tcPr>
          <w:p w14:paraId="6DE27346">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0D412198">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领导</w:t>
            </w:r>
          </w:p>
        </w:tc>
        <w:tc>
          <w:tcPr>
            <w:tcW w:w="1080" w:type="dxa"/>
            <w:vAlign w:val="center"/>
          </w:tcPr>
          <w:p w14:paraId="78C24DBB">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1639079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部门</w:t>
            </w:r>
          </w:p>
        </w:tc>
      </w:tr>
      <w:tr w14:paraId="5DE2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0" w:type="dxa"/>
            <w:vMerge w:val="restart"/>
            <w:vAlign w:val="center"/>
          </w:tcPr>
          <w:p w14:paraId="644A4B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仿宋" w:hAnsi="仿宋" w:eastAsia="仿宋" w:cs="仿宋"/>
                <w:sz w:val="28"/>
                <w:szCs w:val="28"/>
                <w:vertAlign w:val="baseline"/>
                <w:lang w:val="en-US" w:eastAsia="zh-CN"/>
              </w:rPr>
              <w:t>二</w:t>
            </w:r>
          </w:p>
        </w:tc>
        <w:tc>
          <w:tcPr>
            <w:tcW w:w="3615" w:type="dxa"/>
            <w:vAlign w:val="center"/>
          </w:tcPr>
          <w:p w14:paraId="6E82B3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黑体" w:hAnsi="黑体" w:eastAsia="黑体" w:cs="黑体"/>
                <w:sz w:val="24"/>
                <w:szCs w:val="24"/>
                <w:vertAlign w:val="baseline"/>
                <w:lang w:val="en-US" w:eastAsia="zh-CN"/>
              </w:rPr>
              <w:t>中国特色社会主义法律体系</w:t>
            </w:r>
          </w:p>
        </w:tc>
        <w:tc>
          <w:tcPr>
            <w:tcW w:w="1005" w:type="dxa"/>
            <w:vMerge w:val="restart"/>
            <w:vAlign w:val="center"/>
          </w:tcPr>
          <w:p w14:paraId="4496FCA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局全体党员干</w:t>
            </w:r>
          </w:p>
          <w:p w14:paraId="1D88E17A">
            <w:pPr>
              <w:jc w:val="center"/>
              <w:rPr>
                <w:rFonts w:hint="eastAsia" w:ascii="方正楷体简体" w:hAnsi="方正楷体简体" w:eastAsia="方正楷体简体" w:cs="方正楷体简体"/>
                <w:sz w:val="32"/>
                <w:szCs w:val="32"/>
                <w:lang w:val="en-US" w:eastAsia="zh-CN"/>
              </w:rPr>
            </w:pPr>
            <w:r>
              <w:rPr>
                <w:rFonts w:hint="eastAsia" w:ascii="仿宋" w:hAnsi="仿宋" w:eastAsia="仿宋" w:cs="仿宋"/>
                <w:sz w:val="24"/>
                <w:szCs w:val="24"/>
                <w:vertAlign w:val="baseline"/>
                <w:lang w:val="en-US" w:eastAsia="zh-CN"/>
              </w:rPr>
              <w:t>部职工</w:t>
            </w:r>
          </w:p>
        </w:tc>
        <w:tc>
          <w:tcPr>
            <w:tcW w:w="3825" w:type="dxa"/>
            <w:vMerge w:val="restart"/>
            <w:vAlign w:val="center"/>
          </w:tcPr>
          <w:p w14:paraId="48A21E52">
            <w:pPr>
              <w:keepNext w:val="0"/>
              <w:keepLines w:val="0"/>
              <w:pageBreakBefore w:val="0"/>
              <w:widowControl w:val="0"/>
              <w:kinsoku/>
              <w:wordWrap/>
              <w:overflowPunct/>
              <w:topLinePunct w:val="0"/>
              <w:autoSpaceDE/>
              <w:autoSpaceDN/>
              <w:bidi w:val="0"/>
              <w:adjustRightInd/>
              <w:snapToGrid/>
              <w:spacing w:line="360" w:lineRule="exact"/>
              <w:ind w:left="220" w:hanging="240" w:hangingChars="100"/>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1.加强局全体党员干部职工法治意识，全面推动统计法治机关建设。</w:t>
            </w:r>
          </w:p>
          <w:p w14:paraId="12B95448">
            <w:pPr>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2.努力提高全局依法行政工作意识，促进统计工作的依法管理。</w:t>
            </w:r>
          </w:p>
          <w:p w14:paraId="70AD960E">
            <w:pPr>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仿宋" w:hAnsi="仿宋" w:eastAsia="仿宋" w:cs="仿宋"/>
                <w:kern w:val="0"/>
                <w:sz w:val="24"/>
                <w:szCs w:val="24"/>
                <w:vertAlign w:val="baseline"/>
                <w:lang w:val="en-US" w:eastAsia="zh-CN" w:bidi="ar-SA"/>
              </w:rPr>
              <w:t>3.营造尊法、学法、用法、守法的浓厚法治宣传氛围，为我区法治政府建设贡献统计力量。</w:t>
            </w:r>
          </w:p>
        </w:tc>
        <w:tc>
          <w:tcPr>
            <w:tcW w:w="3180" w:type="dxa"/>
            <w:vMerge w:val="restart"/>
            <w:vAlign w:val="center"/>
          </w:tcPr>
          <w:p w14:paraId="08A22B5E">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1.通过党组会议、党组扩大会议、全局干部职工大会、党员大会等形式学习。</w:t>
            </w:r>
          </w:p>
          <w:p w14:paraId="553033CC">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2.发放有关法律法规的书籍和宣传手册。</w:t>
            </w:r>
          </w:p>
          <w:p w14:paraId="7E3CCB50">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3.组织干部职工登录“国家工作人员学法考试系统”进行学习，参加年度学法考试。</w:t>
            </w:r>
          </w:p>
          <w:p w14:paraId="6E4DA48E">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4.组织干部参加区直机关教育培训，国家工作人员初任培训、任职培训等。</w:t>
            </w:r>
          </w:p>
          <w:p w14:paraId="4EDE84B8">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5.组织“12·4”国家宪法日、“12.8”统计法颁布纪念日等重大活动。</w:t>
            </w:r>
          </w:p>
          <w:p w14:paraId="7F09BBC6">
            <w:pPr>
              <w:numPr>
                <w:ilvl w:val="0"/>
                <w:numId w:val="0"/>
              </w:numPr>
              <w:ind w:left="220" w:hanging="220" w:hangingChars="100"/>
              <w:jc w:val="left"/>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6.按要求参加行政诉讼庭审网络直播的旁听。</w:t>
            </w:r>
          </w:p>
          <w:p w14:paraId="4DE544BA">
            <w:pPr>
              <w:numPr>
                <w:ilvl w:val="0"/>
                <w:numId w:val="0"/>
              </w:numPr>
              <w:ind w:left="220" w:hanging="220" w:hangingChars="100"/>
              <w:jc w:val="left"/>
              <w:rPr>
                <w:rFonts w:hint="default" w:ascii="仿宋" w:hAnsi="仿宋" w:eastAsia="仿宋" w:cs="仿宋"/>
                <w:sz w:val="22"/>
                <w:szCs w:val="22"/>
                <w:vertAlign w:val="baseline"/>
                <w:lang w:val="en-US" w:eastAsia="zh-CN"/>
              </w:rPr>
            </w:pPr>
          </w:p>
        </w:tc>
        <w:tc>
          <w:tcPr>
            <w:tcW w:w="990" w:type="dxa"/>
            <w:vMerge w:val="restart"/>
            <w:vAlign w:val="center"/>
          </w:tcPr>
          <w:p w14:paraId="6919A5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吴淑绸肖逸翔</w:t>
            </w:r>
          </w:p>
        </w:tc>
        <w:tc>
          <w:tcPr>
            <w:tcW w:w="1080" w:type="dxa"/>
            <w:vMerge w:val="restart"/>
            <w:vAlign w:val="center"/>
          </w:tcPr>
          <w:p w14:paraId="073F27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办公室、法制教育股</w:t>
            </w:r>
          </w:p>
        </w:tc>
      </w:tr>
      <w:tr w14:paraId="0F1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5" w:hRule="atLeast"/>
        </w:trPr>
        <w:tc>
          <w:tcPr>
            <w:tcW w:w="540" w:type="dxa"/>
            <w:vMerge w:val="continue"/>
          </w:tcPr>
          <w:p w14:paraId="4EE2D1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615" w:type="dxa"/>
            <w:vAlign w:val="center"/>
          </w:tcPr>
          <w:p w14:paraId="6BE4D9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1.《中华人民共和国宪法》</w:t>
            </w:r>
          </w:p>
          <w:p w14:paraId="2E0B2BFA">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2.《中华人民共和国行政处罚法》（新修订）</w:t>
            </w:r>
          </w:p>
          <w:p w14:paraId="6F1CB902">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3.《中华人民共和国行政诉讼法》</w:t>
            </w:r>
          </w:p>
          <w:p w14:paraId="7AAE3E5A">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4.《中华人民共和国行政许可法》</w:t>
            </w:r>
          </w:p>
          <w:p w14:paraId="115D968C">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5.《中华人民共和国保守国家秘密法》</w:t>
            </w:r>
          </w:p>
          <w:p w14:paraId="6EE7B91E">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6.《中华人民共和国行政复议法》</w:t>
            </w:r>
          </w:p>
          <w:p w14:paraId="0D12B7C3">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7.《中华人民共和国民事诉讼法》</w:t>
            </w:r>
          </w:p>
          <w:p w14:paraId="76301463">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8.《中华人民共和国政府信息公开条例》</w:t>
            </w:r>
          </w:p>
          <w:p w14:paraId="61ADD0CA">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9.《中华人民共和国民法典》</w:t>
            </w:r>
          </w:p>
          <w:p w14:paraId="43954E00">
            <w:pPr>
              <w:numPr>
                <w:ilvl w:val="0"/>
                <w:numId w:val="0"/>
              </w:numPr>
              <w:jc w:val="left"/>
              <w:rPr>
                <w:rFonts w:hint="default" w:ascii="仿宋" w:hAnsi="仿宋" w:eastAsia="仿宋" w:cs="仿宋"/>
                <w:sz w:val="24"/>
                <w:szCs w:val="24"/>
                <w:vertAlign w:val="baseline"/>
                <w:lang w:val="en-US" w:eastAsia="zh-CN"/>
              </w:rPr>
            </w:pPr>
          </w:p>
        </w:tc>
        <w:tc>
          <w:tcPr>
            <w:tcW w:w="1005" w:type="dxa"/>
            <w:vMerge w:val="continue"/>
          </w:tcPr>
          <w:p w14:paraId="179DE9B7">
            <w:pPr>
              <w:bidi w:val="0"/>
              <w:adjustRightInd w:val="0"/>
              <w:ind w:firstLine="640" w:firstLineChars="200"/>
              <w:rPr>
                <w:rFonts w:hint="eastAsia" w:ascii="方正仿宋简体" w:hAnsi="方正仿宋简体" w:eastAsia="方正仿宋简体" w:cs="方正仿宋简体"/>
                <w:sz w:val="32"/>
                <w:szCs w:val="32"/>
                <w:lang w:val="en-US" w:eastAsia="zh-CN"/>
              </w:rPr>
            </w:pPr>
          </w:p>
        </w:tc>
        <w:tc>
          <w:tcPr>
            <w:tcW w:w="3825" w:type="dxa"/>
            <w:vMerge w:val="continue"/>
          </w:tcPr>
          <w:p w14:paraId="614F77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180" w:type="dxa"/>
            <w:vMerge w:val="continue"/>
          </w:tcPr>
          <w:p w14:paraId="1E730B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990" w:type="dxa"/>
            <w:vMerge w:val="continue"/>
          </w:tcPr>
          <w:p w14:paraId="58D596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1080" w:type="dxa"/>
            <w:vMerge w:val="continue"/>
          </w:tcPr>
          <w:p w14:paraId="3AE82E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r>
      <w:tr w14:paraId="57EF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0" w:type="dxa"/>
            <w:vAlign w:val="center"/>
          </w:tcPr>
          <w:p w14:paraId="5FFD3366">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615" w:type="dxa"/>
            <w:vAlign w:val="center"/>
          </w:tcPr>
          <w:p w14:paraId="1AB9554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普法计划内容</w:t>
            </w:r>
          </w:p>
        </w:tc>
        <w:tc>
          <w:tcPr>
            <w:tcW w:w="1005" w:type="dxa"/>
            <w:vAlign w:val="center"/>
          </w:tcPr>
          <w:p w14:paraId="7994CFDE">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w:t>
            </w:r>
          </w:p>
          <w:p w14:paraId="518CF7C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对象</w:t>
            </w:r>
          </w:p>
        </w:tc>
        <w:tc>
          <w:tcPr>
            <w:tcW w:w="3825" w:type="dxa"/>
            <w:vAlign w:val="center"/>
          </w:tcPr>
          <w:p w14:paraId="015A331B">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普法目标</w:t>
            </w:r>
          </w:p>
        </w:tc>
        <w:tc>
          <w:tcPr>
            <w:tcW w:w="3180" w:type="dxa"/>
            <w:vAlign w:val="center"/>
          </w:tcPr>
          <w:p w14:paraId="57796802">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具体措施</w:t>
            </w:r>
          </w:p>
        </w:tc>
        <w:tc>
          <w:tcPr>
            <w:tcW w:w="990" w:type="dxa"/>
            <w:vAlign w:val="center"/>
          </w:tcPr>
          <w:p w14:paraId="7E2D0E6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352E3510">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领导</w:t>
            </w:r>
          </w:p>
        </w:tc>
        <w:tc>
          <w:tcPr>
            <w:tcW w:w="1080" w:type="dxa"/>
            <w:vAlign w:val="center"/>
          </w:tcPr>
          <w:p w14:paraId="07C48D7C">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31DAF5B0">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部门</w:t>
            </w:r>
          </w:p>
        </w:tc>
      </w:tr>
      <w:tr w14:paraId="444F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40" w:type="dxa"/>
            <w:vMerge w:val="restart"/>
            <w:vAlign w:val="center"/>
          </w:tcPr>
          <w:p w14:paraId="14BA95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仿宋" w:hAnsi="仿宋" w:eastAsia="仿宋" w:cs="仿宋"/>
                <w:sz w:val="28"/>
                <w:szCs w:val="28"/>
                <w:vertAlign w:val="baseline"/>
                <w:lang w:val="en-US" w:eastAsia="zh-CN"/>
              </w:rPr>
              <w:t>三</w:t>
            </w:r>
          </w:p>
        </w:tc>
        <w:tc>
          <w:tcPr>
            <w:tcW w:w="3615" w:type="dxa"/>
            <w:vAlign w:val="center"/>
          </w:tcPr>
          <w:p w14:paraId="460AE7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cs="方正黑体简体" w:eastAsiaTheme="minorEastAsia"/>
                <w:kern w:val="2"/>
                <w:sz w:val="32"/>
                <w:szCs w:val="32"/>
                <w:lang w:val="en-US" w:eastAsia="zh-CN" w:bidi="ar-SA"/>
              </w:rPr>
            </w:pPr>
            <w:r>
              <w:rPr>
                <w:rFonts w:hint="eastAsia" w:ascii="黑体" w:hAnsi="黑体" w:eastAsia="黑体" w:cs="黑体"/>
                <w:sz w:val="24"/>
                <w:szCs w:val="24"/>
                <w:vertAlign w:val="baseline"/>
                <w:lang w:val="en-US" w:eastAsia="zh-CN"/>
              </w:rPr>
              <w:t>党内法规</w:t>
            </w:r>
          </w:p>
        </w:tc>
        <w:tc>
          <w:tcPr>
            <w:tcW w:w="1005" w:type="dxa"/>
            <w:vMerge w:val="restart"/>
            <w:vAlign w:val="center"/>
          </w:tcPr>
          <w:p w14:paraId="7B115AC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局全体党员干</w:t>
            </w:r>
          </w:p>
          <w:p w14:paraId="222DCD2E">
            <w:pPr>
              <w:jc w:val="center"/>
              <w:rPr>
                <w:rFonts w:hint="eastAsia" w:ascii="方正楷体简体" w:hAnsi="方正楷体简体" w:eastAsia="方正楷体简体" w:cs="方正楷体简体"/>
                <w:sz w:val="24"/>
                <w:szCs w:val="24"/>
                <w:lang w:val="en-US" w:eastAsia="zh-CN"/>
              </w:rPr>
            </w:pPr>
            <w:r>
              <w:rPr>
                <w:rFonts w:hint="eastAsia" w:ascii="仿宋" w:hAnsi="仿宋" w:eastAsia="仿宋" w:cs="仿宋"/>
                <w:sz w:val="24"/>
                <w:szCs w:val="24"/>
                <w:vertAlign w:val="baseline"/>
                <w:lang w:val="en-US" w:eastAsia="zh-CN"/>
              </w:rPr>
              <w:t>部职工</w:t>
            </w:r>
          </w:p>
        </w:tc>
        <w:tc>
          <w:tcPr>
            <w:tcW w:w="3825" w:type="dxa"/>
            <w:vMerge w:val="restart"/>
            <w:vAlign w:val="center"/>
          </w:tcPr>
          <w:p w14:paraId="2EA6016D">
            <w:pPr>
              <w:keepNext w:val="0"/>
              <w:keepLines w:val="0"/>
              <w:pageBreakBefore w:val="0"/>
              <w:widowControl w:val="0"/>
              <w:kinsoku/>
              <w:wordWrap/>
              <w:overflowPunct/>
              <w:topLinePunct w:val="0"/>
              <w:autoSpaceDE/>
              <w:autoSpaceDN/>
              <w:bidi w:val="0"/>
              <w:adjustRightInd/>
              <w:snapToGrid/>
              <w:spacing w:line="360" w:lineRule="exact"/>
              <w:ind w:left="220" w:hanging="240" w:hangingChars="100"/>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1.按照全面从严治党的要求，提高党建的规范化建设，提升组织力，增强“四个意识”、坚定“四个自信”、做到“两个维护”，严守组织纪律，加快推进统计法治机关建设。</w:t>
            </w:r>
          </w:p>
          <w:p w14:paraId="0E5144B4">
            <w:pPr>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left"/>
              <w:textAlignment w:val="auto"/>
              <w:rPr>
                <w:rFonts w:hint="eastAsia" w:ascii="仿宋" w:hAnsi="仿宋" w:eastAsia="仿宋" w:cs="仿宋"/>
                <w:kern w:val="0"/>
                <w:sz w:val="24"/>
                <w:szCs w:val="24"/>
                <w:vertAlign w:val="baseline"/>
                <w:lang w:val="en-US" w:eastAsia="zh-CN" w:bidi="ar-SA"/>
              </w:rPr>
            </w:pPr>
            <w:r>
              <w:rPr>
                <w:rFonts w:hint="eastAsia" w:ascii="仿宋" w:hAnsi="仿宋" w:eastAsia="仿宋" w:cs="仿宋"/>
                <w:kern w:val="0"/>
                <w:sz w:val="24"/>
                <w:szCs w:val="24"/>
                <w:vertAlign w:val="baseline"/>
                <w:lang w:val="en-US" w:eastAsia="zh-CN" w:bidi="ar-SA"/>
              </w:rPr>
              <w:t>2.努力提高党员学习党章的积极性，促进党员遵守各项党内纪律，提高党性修养水平。</w:t>
            </w:r>
          </w:p>
          <w:p w14:paraId="6A8B5C2C">
            <w:pPr>
              <w:keepNext w:val="0"/>
              <w:keepLines w:val="0"/>
              <w:pageBreakBefore w:val="0"/>
              <w:widowControl w:val="0"/>
              <w:kinsoku/>
              <w:wordWrap/>
              <w:overflowPunct/>
              <w:topLinePunct w:val="0"/>
              <w:autoSpaceDE/>
              <w:autoSpaceDN/>
              <w:bidi w:val="0"/>
              <w:adjustRightInd/>
              <w:snapToGrid/>
              <w:spacing w:line="360" w:lineRule="exact"/>
              <w:ind w:left="240" w:hanging="240" w:hangingChars="100"/>
              <w:jc w:val="left"/>
              <w:textAlignment w:val="auto"/>
              <w:rPr>
                <w:rFonts w:hint="eastAsia" w:ascii="方正楷体简体" w:hAnsi="方正楷体简体" w:eastAsia="方正楷体简体" w:cs="方正楷体简体"/>
                <w:kern w:val="2"/>
                <w:sz w:val="24"/>
                <w:szCs w:val="24"/>
                <w:lang w:val="en-US" w:eastAsia="zh-CN" w:bidi="ar-SA"/>
              </w:rPr>
            </w:pPr>
            <w:r>
              <w:rPr>
                <w:rFonts w:hint="eastAsia" w:ascii="仿宋" w:hAnsi="仿宋" w:eastAsia="仿宋" w:cs="仿宋"/>
                <w:kern w:val="0"/>
                <w:sz w:val="24"/>
                <w:szCs w:val="24"/>
                <w:vertAlign w:val="baseline"/>
                <w:lang w:val="en-US" w:eastAsia="zh-CN" w:bidi="ar-SA"/>
              </w:rPr>
              <w:t>3.充分发挥党组织“头雁效应”和党员干部先锋模范作用，不断提高党员干部守土有责、守土担责、守土尽责的责任意识和自觉行动。</w:t>
            </w:r>
          </w:p>
        </w:tc>
        <w:tc>
          <w:tcPr>
            <w:tcW w:w="3180" w:type="dxa"/>
            <w:vMerge w:val="restart"/>
            <w:vAlign w:val="center"/>
          </w:tcPr>
          <w:p w14:paraId="59D0C0C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40" w:hanging="240" w:hangingChars="10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vertAlign w:val="baseline"/>
                <w:lang w:val="en-US" w:eastAsia="zh-CN" w:bidi="ar-SA"/>
              </w:rPr>
              <w:t>1.</w:t>
            </w:r>
            <w:r>
              <w:rPr>
                <w:rFonts w:hint="eastAsia" w:ascii="仿宋" w:hAnsi="仿宋" w:eastAsia="仿宋" w:cs="仿宋"/>
                <w:sz w:val="24"/>
                <w:szCs w:val="24"/>
                <w:vertAlign w:val="baseline"/>
                <w:lang w:val="en-US" w:eastAsia="zh-CN"/>
              </w:rPr>
              <w:t>组织党员集中学习及自学。</w:t>
            </w:r>
          </w:p>
          <w:p w14:paraId="1FDE220D">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2.党组会或党组中心组理论学习研讨。</w:t>
            </w:r>
          </w:p>
          <w:p w14:paraId="3566BB90">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3.发放有关党内法规书籍。</w:t>
            </w:r>
          </w:p>
          <w:p w14:paraId="16D198E0">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r>
              <w:rPr>
                <w:rFonts w:hint="eastAsia" w:ascii="仿宋" w:hAnsi="仿宋" w:eastAsia="仿宋" w:cs="仿宋"/>
                <w:color w:val="000000" w:themeColor="text1"/>
                <w:sz w:val="24"/>
                <w:szCs w:val="24"/>
                <w:lang w:val="en-US" w:eastAsia="zh-CN"/>
                <w14:textFill>
                  <w14:solidFill>
                    <w14:schemeClr w14:val="tx1"/>
                  </w14:solidFill>
                </w14:textFill>
              </w:rPr>
              <w:t>组织党员干部观影，同时</w:t>
            </w:r>
            <w:r>
              <w:rPr>
                <w:rFonts w:hint="eastAsia" w:ascii="仿宋" w:hAnsi="仿宋" w:eastAsia="仿宋" w:cs="仿宋"/>
                <w:color w:val="000000" w:themeColor="text1"/>
                <w:sz w:val="24"/>
                <w:szCs w:val="24"/>
                <w:highlight w:val="none"/>
                <w:lang w:val="en-US" w:eastAsia="zh-CN"/>
                <w14:textFill>
                  <w14:solidFill>
                    <w14:schemeClr w14:val="tx1"/>
                  </w14:solidFill>
                </w14:textFill>
              </w:rPr>
              <w:t>通过组织生活、座谈交流等方式大力宣传党内法规。</w:t>
            </w:r>
          </w:p>
          <w:p w14:paraId="01FA5A32">
            <w:pPr>
              <w:numPr>
                <w:ilvl w:val="0"/>
                <w:numId w:val="0"/>
              </w:numPr>
              <w:ind w:left="240" w:hanging="240" w:hangingChars="100"/>
              <w:jc w:val="left"/>
              <w:rPr>
                <w:rFonts w:hint="default" w:ascii="仿宋" w:hAnsi="仿宋" w:eastAsia="仿宋" w:cs="仿宋"/>
                <w:sz w:val="24"/>
                <w:szCs w:val="24"/>
                <w:vertAlign w:val="baseline"/>
                <w:lang w:val="en-US" w:eastAsia="zh-CN"/>
              </w:rPr>
            </w:pPr>
          </w:p>
        </w:tc>
        <w:tc>
          <w:tcPr>
            <w:tcW w:w="990" w:type="dxa"/>
            <w:vMerge w:val="restart"/>
            <w:vAlign w:val="center"/>
          </w:tcPr>
          <w:p w14:paraId="2A77A0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吴淑绸</w:t>
            </w:r>
          </w:p>
        </w:tc>
        <w:tc>
          <w:tcPr>
            <w:tcW w:w="1080" w:type="dxa"/>
            <w:vMerge w:val="restart"/>
            <w:vAlign w:val="center"/>
          </w:tcPr>
          <w:p w14:paraId="5113F6C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办公室牵头，各股（中心）配合</w:t>
            </w:r>
          </w:p>
        </w:tc>
      </w:tr>
      <w:tr w14:paraId="675A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trPr>
        <w:tc>
          <w:tcPr>
            <w:tcW w:w="540" w:type="dxa"/>
            <w:vMerge w:val="continue"/>
          </w:tcPr>
          <w:p w14:paraId="592BF8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615" w:type="dxa"/>
            <w:vAlign w:val="center"/>
          </w:tcPr>
          <w:p w14:paraId="6A97B81D">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1.《中国共产党章程》</w:t>
            </w:r>
          </w:p>
          <w:p w14:paraId="1B6C2DC6">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2.《中国共产党纪律处分条例》</w:t>
            </w:r>
          </w:p>
          <w:p w14:paraId="2FACD641">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3.《中国共产党巡视工作条例》</w:t>
            </w:r>
          </w:p>
          <w:p w14:paraId="141E0D3C">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4.《关于新形势下党内政治生活</w:t>
            </w:r>
          </w:p>
          <w:p w14:paraId="19411EEC">
            <w:pPr>
              <w:numPr>
                <w:ilvl w:val="0"/>
                <w:numId w:val="0"/>
              </w:numPr>
              <w:ind w:firstLine="480" w:firstLineChars="2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的若干准则》</w:t>
            </w:r>
          </w:p>
          <w:p w14:paraId="624F4968">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5.《中国共产党廉洁自律准则》</w:t>
            </w:r>
          </w:p>
          <w:p w14:paraId="0140C998">
            <w:pPr>
              <w:numPr>
                <w:ilvl w:val="0"/>
                <w:numId w:val="0"/>
              </w:numPr>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6.《中国共产党问责条例》</w:t>
            </w:r>
          </w:p>
        </w:tc>
        <w:tc>
          <w:tcPr>
            <w:tcW w:w="1005" w:type="dxa"/>
            <w:vMerge w:val="continue"/>
          </w:tcPr>
          <w:p w14:paraId="651C42EE">
            <w:pPr>
              <w:bidi w:val="0"/>
              <w:adjustRightInd w:val="0"/>
              <w:ind w:firstLine="640" w:firstLineChars="200"/>
              <w:rPr>
                <w:rFonts w:hint="eastAsia" w:ascii="方正仿宋简体" w:hAnsi="方正仿宋简体" w:eastAsia="方正仿宋简体" w:cs="方正仿宋简体"/>
                <w:sz w:val="32"/>
                <w:szCs w:val="32"/>
                <w:lang w:val="en-US" w:eastAsia="zh-CN"/>
              </w:rPr>
            </w:pPr>
          </w:p>
        </w:tc>
        <w:tc>
          <w:tcPr>
            <w:tcW w:w="3825" w:type="dxa"/>
            <w:vMerge w:val="continue"/>
          </w:tcPr>
          <w:p w14:paraId="315D6E2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180" w:type="dxa"/>
            <w:vMerge w:val="continue"/>
          </w:tcPr>
          <w:p w14:paraId="5E8F29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990" w:type="dxa"/>
            <w:vMerge w:val="continue"/>
          </w:tcPr>
          <w:p w14:paraId="098DB68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1080" w:type="dxa"/>
            <w:vMerge w:val="continue"/>
          </w:tcPr>
          <w:p w14:paraId="06A0A52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r>
    </w:tbl>
    <w:p w14:paraId="516F9E8A">
      <w:pPr>
        <w:jc w:val="both"/>
        <w:rPr>
          <w:rFonts w:hint="eastAsia" w:ascii="方正小标宋简体" w:hAnsi="方正小标宋简体" w:eastAsia="方正小标宋简体" w:cs="方正小标宋简体"/>
          <w:kern w:val="44"/>
          <w:sz w:val="44"/>
          <w:szCs w:val="44"/>
          <w:lang w:val="en-US" w:eastAsia="zh-CN" w:bidi="ar-SA"/>
        </w:rPr>
      </w:pP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615"/>
        <w:gridCol w:w="1005"/>
        <w:gridCol w:w="3405"/>
        <w:gridCol w:w="3600"/>
        <w:gridCol w:w="990"/>
        <w:gridCol w:w="1019"/>
      </w:tblGrid>
      <w:tr w14:paraId="7656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0" w:type="dxa"/>
            <w:vAlign w:val="center"/>
          </w:tcPr>
          <w:p w14:paraId="7BFC85D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615" w:type="dxa"/>
            <w:vAlign w:val="center"/>
          </w:tcPr>
          <w:p w14:paraId="3831BDDC">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普法计划内容</w:t>
            </w:r>
          </w:p>
        </w:tc>
        <w:tc>
          <w:tcPr>
            <w:tcW w:w="1005" w:type="dxa"/>
            <w:vAlign w:val="center"/>
          </w:tcPr>
          <w:p w14:paraId="419CA50F">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w:t>
            </w:r>
          </w:p>
          <w:p w14:paraId="4207A047">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对象</w:t>
            </w:r>
          </w:p>
        </w:tc>
        <w:tc>
          <w:tcPr>
            <w:tcW w:w="3405" w:type="dxa"/>
            <w:vAlign w:val="center"/>
          </w:tcPr>
          <w:p w14:paraId="22F4020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普法目标</w:t>
            </w:r>
          </w:p>
        </w:tc>
        <w:tc>
          <w:tcPr>
            <w:tcW w:w="3600" w:type="dxa"/>
            <w:vAlign w:val="center"/>
          </w:tcPr>
          <w:p w14:paraId="4028CCBD">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具体措施</w:t>
            </w:r>
          </w:p>
        </w:tc>
        <w:tc>
          <w:tcPr>
            <w:tcW w:w="990" w:type="dxa"/>
            <w:vAlign w:val="center"/>
          </w:tcPr>
          <w:p w14:paraId="701976F6">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7DD43101">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领导</w:t>
            </w:r>
          </w:p>
        </w:tc>
        <w:tc>
          <w:tcPr>
            <w:tcW w:w="1019" w:type="dxa"/>
            <w:vAlign w:val="center"/>
          </w:tcPr>
          <w:p w14:paraId="27F5E652">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责任</w:t>
            </w:r>
          </w:p>
          <w:p w14:paraId="54CEEAA3">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部门</w:t>
            </w:r>
          </w:p>
        </w:tc>
      </w:tr>
      <w:tr w14:paraId="5B49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40" w:type="dxa"/>
            <w:vMerge w:val="restart"/>
            <w:vAlign w:val="center"/>
          </w:tcPr>
          <w:p w14:paraId="481C19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r>
              <w:rPr>
                <w:rFonts w:hint="eastAsia" w:ascii="仿宋" w:hAnsi="仿宋" w:eastAsia="仿宋" w:cs="仿宋"/>
                <w:sz w:val="28"/>
                <w:szCs w:val="28"/>
                <w:vertAlign w:val="baseline"/>
                <w:lang w:val="en-US" w:eastAsia="zh-CN"/>
              </w:rPr>
              <w:t>四</w:t>
            </w:r>
          </w:p>
        </w:tc>
        <w:tc>
          <w:tcPr>
            <w:tcW w:w="3615" w:type="dxa"/>
            <w:vAlign w:val="center"/>
          </w:tcPr>
          <w:p w14:paraId="348000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cs="方正黑体简体" w:eastAsiaTheme="minorEastAsia"/>
                <w:kern w:val="2"/>
                <w:sz w:val="32"/>
                <w:szCs w:val="32"/>
                <w:lang w:val="en-US" w:eastAsia="zh-CN" w:bidi="ar-SA"/>
              </w:rPr>
            </w:pPr>
            <w:r>
              <w:rPr>
                <w:rFonts w:hint="eastAsia" w:ascii="黑体" w:hAnsi="黑体" w:eastAsia="黑体" w:cs="黑体"/>
                <w:sz w:val="24"/>
                <w:szCs w:val="24"/>
                <w:vertAlign w:val="baseline"/>
                <w:lang w:val="en-US" w:eastAsia="zh-CN"/>
              </w:rPr>
              <w:t>统计法律法规</w:t>
            </w:r>
          </w:p>
        </w:tc>
        <w:tc>
          <w:tcPr>
            <w:tcW w:w="1005" w:type="dxa"/>
            <w:vMerge w:val="restart"/>
            <w:vAlign w:val="center"/>
          </w:tcPr>
          <w:p w14:paraId="20D6359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局全体党员干</w:t>
            </w:r>
          </w:p>
          <w:p w14:paraId="403282C0">
            <w:pPr>
              <w:jc w:val="center"/>
              <w:rPr>
                <w:rFonts w:hint="eastAsia" w:ascii="方正楷体简体" w:hAnsi="方正楷体简体" w:eastAsia="方正楷体简体" w:cs="方正楷体简体"/>
                <w:sz w:val="24"/>
                <w:szCs w:val="24"/>
                <w:lang w:val="en-US" w:eastAsia="zh-CN"/>
              </w:rPr>
            </w:pPr>
            <w:r>
              <w:rPr>
                <w:rFonts w:hint="eastAsia" w:ascii="仿宋" w:hAnsi="仿宋" w:eastAsia="仿宋" w:cs="仿宋"/>
                <w:sz w:val="24"/>
                <w:szCs w:val="24"/>
                <w:vertAlign w:val="baseline"/>
                <w:lang w:val="en-US" w:eastAsia="zh-CN"/>
              </w:rPr>
              <w:t>部职工、调查对象、服务对象</w:t>
            </w:r>
          </w:p>
        </w:tc>
        <w:tc>
          <w:tcPr>
            <w:tcW w:w="3405" w:type="dxa"/>
            <w:vMerge w:val="restart"/>
            <w:vAlign w:val="center"/>
          </w:tcPr>
          <w:p w14:paraId="7149D908">
            <w:pPr>
              <w:numPr>
                <w:ilvl w:val="0"/>
                <w:numId w:val="0"/>
              </w:numPr>
              <w:ind w:left="220" w:hanging="240" w:hanging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1.促进局全体党员干部职工   在统计服务中普法，面向服务对象和社会公众开展宣传普及，营造统计法律法规学习宣传的浓厚氛围。</w:t>
            </w:r>
          </w:p>
          <w:p w14:paraId="587D81DE">
            <w:pPr>
              <w:numPr>
                <w:ilvl w:val="0"/>
                <w:numId w:val="0"/>
              </w:numPr>
              <w:ind w:left="220" w:hanging="240" w:hanging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2.进一步健全法治宣传教育机制，有效提高我局普法宣传的质量和效果，营造尊法、学法、用法、守法的浓厚氛围，努力夯实我区统计法治建设的基础。</w:t>
            </w:r>
          </w:p>
          <w:p w14:paraId="622DA6DA">
            <w:pPr>
              <w:numPr>
                <w:ilvl w:val="0"/>
                <w:numId w:val="0"/>
              </w:numPr>
              <w:ind w:left="220" w:hanging="240" w:hangingChars="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3.提高公民依法统计意识，在全社会形成“尊法学法守法用法的良好氛围”，促进统计工作的依法管理，进一步提高统计数据质量。</w:t>
            </w:r>
          </w:p>
          <w:p w14:paraId="46B489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楷体简体" w:hAnsi="方正楷体简体" w:eastAsia="方正楷体简体" w:cs="方正楷体简体"/>
                <w:kern w:val="2"/>
                <w:sz w:val="24"/>
                <w:szCs w:val="24"/>
                <w:lang w:val="en-US" w:eastAsia="zh-CN" w:bidi="ar-SA"/>
              </w:rPr>
            </w:pPr>
          </w:p>
        </w:tc>
        <w:tc>
          <w:tcPr>
            <w:tcW w:w="3600" w:type="dxa"/>
            <w:vMerge w:val="restart"/>
            <w:vAlign w:val="center"/>
          </w:tcPr>
          <w:p w14:paraId="15EDC23A">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1.运用门户网站、微信等平台加强《统计法》《统计法实施条例》等法律法规的宣传。</w:t>
            </w:r>
          </w:p>
          <w:p w14:paraId="3B1338DD">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2.组织行政执法人员积极参加行政执法考试培训。</w:t>
            </w:r>
          </w:p>
          <w:p w14:paraId="27ACB9F8">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3.扩大和丰富开展统计开放日活动的范围和内容。</w:t>
            </w:r>
          </w:p>
          <w:p w14:paraId="15E37F6D">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4.结合“9.20”统计开放日、“12.4”宪法颁布日、“12.8”统计法实施纪念日节点开展普法活动。</w:t>
            </w:r>
          </w:p>
          <w:p w14:paraId="3061C89D">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5.发放有关统计法律法规的书籍和宣传手册。</w:t>
            </w:r>
          </w:p>
          <w:p w14:paraId="701EECBC">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6.推动《统计法》进党校。</w:t>
            </w:r>
          </w:p>
          <w:p w14:paraId="35F8DFDB">
            <w:pPr>
              <w:numPr>
                <w:ilvl w:val="0"/>
                <w:numId w:val="0"/>
              </w:numPr>
              <w:ind w:left="220" w:hanging="240" w:hangingChars="100"/>
              <w:jc w:val="left"/>
              <w:rPr>
                <w:rFonts w:hint="eastAsia" w:ascii="仿宋" w:hAnsi="仿宋" w:eastAsia="仿宋" w:cs="仿宋"/>
                <w:sz w:val="24"/>
                <w:szCs w:val="24"/>
                <w:vertAlign w:val="baseline"/>
                <w:lang w:val="en-US" w:eastAsia="zh-CN"/>
              </w:rPr>
            </w:pPr>
          </w:p>
        </w:tc>
        <w:tc>
          <w:tcPr>
            <w:tcW w:w="990" w:type="dxa"/>
            <w:vMerge w:val="restart"/>
            <w:vAlign w:val="center"/>
          </w:tcPr>
          <w:p w14:paraId="10668A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肖逸翔</w:t>
            </w:r>
          </w:p>
        </w:tc>
        <w:tc>
          <w:tcPr>
            <w:tcW w:w="1019" w:type="dxa"/>
            <w:vMerge w:val="restart"/>
            <w:vAlign w:val="center"/>
          </w:tcPr>
          <w:p w14:paraId="525231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法制教育股牵头，各股（中心）配合</w:t>
            </w:r>
          </w:p>
        </w:tc>
      </w:tr>
      <w:tr w14:paraId="4BAE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trPr>
        <w:tc>
          <w:tcPr>
            <w:tcW w:w="540" w:type="dxa"/>
            <w:vMerge w:val="continue"/>
          </w:tcPr>
          <w:p w14:paraId="34F6F55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3615" w:type="dxa"/>
            <w:vAlign w:val="center"/>
          </w:tcPr>
          <w:p w14:paraId="30F61B85">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1.《中华人民共和国统计法》</w:t>
            </w:r>
          </w:p>
          <w:p w14:paraId="76B6362D">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2.《中华人民共和国统计法实施条例》</w:t>
            </w:r>
          </w:p>
          <w:p w14:paraId="4C104D45">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3.《全国人口普查条例》</w:t>
            </w:r>
          </w:p>
          <w:p w14:paraId="07A9CEC6">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4.《全国经济普查条例》</w:t>
            </w:r>
          </w:p>
          <w:p w14:paraId="735553B7">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5.《全国农业普查条例》</w:t>
            </w:r>
          </w:p>
          <w:p w14:paraId="795EA338">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6.《统计执法证管理办法》</w:t>
            </w:r>
          </w:p>
          <w:p w14:paraId="146648CC">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7.《统计执法监督检查办法》</w:t>
            </w:r>
          </w:p>
          <w:p w14:paraId="23089BEB">
            <w:pPr>
              <w:numPr>
                <w:ilvl w:val="0"/>
                <w:numId w:val="0"/>
              </w:num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8.《企业统计信用管理办法》</w:t>
            </w:r>
          </w:p>
          <w:p w14:paraId="148BBD00">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9.《统计从业人员统计信用档案管理办法》</w:t>
            </w:r>
          </w:p>
          <w:p w14:paraId="51CD9F35">
            <w:pPr>
              <w:numPr>
                <w:ilvl w:val="0"/>
                <w:numId w:val="0"/>
              </w:numPr>
              <w:ind w:left="240" w:hanging="240" w:hangingChars="1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10.印发《关于对统计领域严重失信企业及其有关人员开展联合惩戒的合作备忘录（修订版）》的通知</w:t>
            </w:r>
          </w:p>
          <w:p w14:paraId="37B90232">
            <w:pPr>
              <w:numPr>
                <w:ilvl w:val="0"/>
                <w:numId w:val="0"/>
              </w:num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11.《防范和惩治统计造假弄虚作假重要文件选编》</w:t>
            </w:r>
          </w:p>
        </w:tc>
        <w:tc>
          <w:tcPr>
            <w:tcW w:w="1005" w:type="dxa"/>
            <w:vMerge w:val="continue"/>
            <w:vAlign w:val="center"/>
          </w:tcPr>
          <w:p w14:paraId="7BEBD5D5">
            <w:pPr>
              <w:bidi w:val="0"/>
              <w:adjustRightInd w:val="0"/>
              <w:ind w:firstLine="640" w:firstLineChars="200"/>
              <w:jc w:val="center"/>
              <w:rPr>
                <w:rFonts w:hint="eastAsia" w:ascii="方正仿宋简体" w:hAnsi="方正仿宋简体" w:eastAsia="方正仿宋简体" w:cs="方正仿宋简体"/>
                <w:sz w:val="32"/>
                <w:szCs w:val="32"/>
                <w:lang w:val="en-US" w:eastAsia="zh-CN"/>
              </w:rPr>
            </w:pPr>
          </w:p>
        </w:tc>
        <w:tc>
          <w:tcPr>
            <w:tcW w:w="3405" w:type="dxa"/>
            <w:vMerge w:val="continue"/>
            <w:vAlign w:val="center"/>
          </w:tcPr>
          <w:p w14:paraId="78BCA8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p>
        </w:tc>
        <w:tc>
          <w:tcPr>
            <w:tcW w:w="3600" w:type="dxa"/>
            <w:vMerge w:val="continue"/>
            <w:vAlign w:val="center"/>
          </w:tcPr>
          <w:p w14:paraId="39E178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kern w:val="2"/>
                <w:sz w:val="32"/>
                <w:szCs w:val="32"/>
                <w:lang w:val="en-US" w:eastAsia="zh-CN" w:bidi="ar-SA"/>
              </w:rPr>
            </w:pPr>
          </w:p>
        </w:tc>
        <w:tc>
          <w:tcPr>
            <w:tcW w:w="990" w:type="dxa"/>
            <w:vMerge w:val="continue"/>
          </w:tcPr>
          <w:p w14:paraId="2CCC70B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c>
          <w:tcPr>
            <w:tcW w:w="1019" w:type="dxa"/>
            <w:vMerge w:val="continue"/>
          </w:tcPr>
          <w:p w14:paraId="37FD3B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kern w:val="2"/>
                <w:sz w:val="32"/>
                <w:szCs w:val="32"/>
                <w:lang w:val="en-US" w:eastAsia="zh-CN" w:bidi="ar-SA"/>
              </w:rPr>
            </w:pPr>
          </w:p>
        </w:tc>
      </w:tr>
    </w:tbl>
    <w:p w14:paraId="76908776"/>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6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62B08">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pPr>
                          <w:r>
                            <w:rPr>
                              <w:rFonts w:hint="eastAsia" w:ascii="Times New Roman" w:hAnsi="Times New Roman" w:cs="Times New Roman"/>
                              <w:sz w:val="24"/>
                              <w:szCs w:val="24"/>
                            </w:rPr>
                            <w:t xml:space="preserve">— </w:t>
                          </w:r>
                          <w:r>
                            <w:rPr>
                              <w:rFonts w:hint="eastAsia"/>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F62B08">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pPr>
                    <w:r>
                      <w:rPr>
                        <w:rFonts w:hint="eastAsia" w:ascii="Times New Roman" w:hAnsi="Times New Roman" w:cs="Times New Roman"/>
                        <w:sz w:val="24"/>
                        <w:szCs w:val="24"/>
                      </w:rPr>
                      <w:t xml:space="preserve">— </w:t>
                    </w:r>
                    <w:r>
                      <w:rPr>
                        <w:rFonts w:hint="eastAsia"/>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ZjFjM2JiOWUxMDdhODA2NzYyNGUwYmQ3YzJiZDIifQ=="/>
  </w:docVars>
  <w:rsids>
    <w:rsidRoot w:val="3EF31A40"/>
    <w:rsid w:val="01935FB7"/>
    <w:rsid w:val="20621A95"/>
    <w:rsid w:val="3EF31A40"/>
    <w:rsid w:val="5C0859F6"/>
    <w:rsid w:val="688E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2050</Words>
  <Characters>2129</Characters>
  <Lines>0</Lines>
  <Paragraphs>0</Paragraphs>
  <TotalTime>248</TotalTime>
  <ScaleCrop>false</ScaleCrop>
  <LinksUpToDate>false</LinksUpToDate>
  <CharactersWithSpaces>2133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2022-07-18T01:51:00Z</dcterms:created>
  <dc:creator>jiawei_deng</dc:creator>
  <cp:lastModifiedBy>Arctic</cp:lastModifiedBy>
  <cp:lastPrinted>2022-09-02T02:13:00Z</cp:lastPrinted>
  <dcterms:modified xsi:type="dcterms:W3CDTF">2025-06-10T03:31:34Z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FB47468FC48942A28939188C430EBA61_13</vt:lpwstr>
  </property>
  <property fmtid="{D5CDD505-2E9C-101B-9397-08002B2CF9AE}" pid="4" name="KSOTemplateDocerSaveRecord">
    <vt:lpwstr>eyJoZGlkIjoiN2E4ZjFjM2JiOWUxMDdhODA2NzYyNGUwYmQ3YzJiZDIiLCJ1c2VySWQiOiIxOTkwMzUxODcifQ==</vt:lpwstr>
  </property>
</Properties>
</file>